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ackground w:color="D6E3BC"/>
  <w:body>
    <w:p>
      <w:pPr>
        <w:pStyle w:val="173"/>
        <w:widowControl/>
        <w:spacing w:before="100" w:beforeAutospacing="1" w:line="240" w:lineRule="auto"/>
        <w:rPr>
          <w:rFonts w:ascii="Times New Roman" w:cs="Times New Roman" w:hAnsi="Times New Roman"/>
          <w:b/>
          <w:bCs/>
          <w:sz w:val="28"/>
          <w:szCs w:val="28"/>
          <w:highlight w:val="yellow"/>
        </w:rPr>
      </w:pPr>
      <w:r>
        <w:rPr>
          <w:rFonts w:ascii="Times New Roman" w:cs="Times New Roman" w:hAnsi="Times New Roman" w:hint="eastAsia"/>
          <w:b/>
          <w:bCs/>
          <w:i/>
          <w:iCs/>
          <w:sz w:val="28"/>
          <w:szCs w:val="28"/>
          <w:highlight w:val="yellow"/>
        </w:rPr>
        <w:t>for reference only</w:t>
      </w:r>
    </w:p>
    <w:p>
      <w:pPr>
        <w:pStyle w:val="173"/>
        <w:spacing w:after="0" w:afterAutospacing="0"/>
        <w:jc w:val="center"/>
        <w:rPr>
          <w:rFonts w:ascii="Times New Roman" w:cs="Times New Roman" w:hAnsi="Times New Roman"/>
          <w:color w:val="1F1F1F"/>
          <w:sz w:val="32"/>
          <w:szCs w:val="32"/>
        </w:rPr>
      </w:pPr>
      <w:r>
        <w:rPr>
          <w:rFonts w:ascii="Times New Roman" w:cs="Times New Roman" w:hAnsi="Times New Roman" w:hint="eastAsia"/>
          <w:b/>
          <w:sz w:val="32"/>
          <w:szCs w:val="32"/>
        </w:rPr>
        <w:t>Registration</w:t>
      </w:r>
      <w:r>
        <w:rPr>
          <w:rFonts w:ascii="Times New Roman" w:cs="Times New Roman" w:hAnsi="Times New Roman"/>
          <w:b/>
          <w:sz w:val="32"/>
          <w:szCs w:val="32"/>
        </w:rPr>
        <w:t xml:space="preserve"> Systems of the Customs of the People's Republic of China on Registration of Overseas Manufactures for Export of Food to China</w:t>
      </w:r>
    </w:p>
    <w:p>
      <w:pPr>
        <w:pStyle w:val="173"/>
        <w:spacing w:after="0" w:afterAutospacing="0"/>
        <w:jc w:val="both"/>
        <w:rPr>
          <w:rFonts w:ascii="Times New Roman" w:cs="Times New Roman" w:hAnsi="Times New Roman"/>
          <w:color w:val="1F1F1F"/>
          <w:sz w:val="28"/>
          <w:szCs w:val="28"/>
        </w:rPr>
      </w:pPr>
      <w:r>
        <w:rPr>
          <w:rFonts w:ascii="Times New Roman" w:cs="Times New Roman" w:hAnsi="Times New Roman" w:hint="eastAsia"/>
          <w:color w:val="1F1F1F"/>
          <w:sz w:val="28"/>
          <w:szCs w:val="28"/>
        </w:rPr>
        <w:t>T</w:t>
      </w:r>
      <w:r>
        <w:rPr>
          <w:rFonts w:ascii="Times New Roman" w:cs="Times New Roman" w:hAnsi="Times New Roman"/>
          <w:color w:val="1F1F1F"/>
          <w:sz w:val="28"/>
          <w:szCs w:val="28"/>
        </w:rPr>
        <w:t>o thoroughly implement the "Fou</w:t>
      </w:r>
      <w:bookmarkStart w:id="0" w:name="_GoBack"/>
      <w:bookmarkEnd w:id="0"/>
      <w:r>
        <w:rPr>
          <w:rFonts w:ascii="Times New Roman" w:cs="Times New Roman" w:hAnsi="Times New Roman"/>
          <w:color w:val="1F1F1F"/>
          <w:sz w:val="28"/>
          <w:szCs w:val="28"/>
        </w:rPr>
        <w:t>r Strictest Requirements" directive</w:t>
      </w:r>
      <w:r>
        <w:rPr>
          <w:rFonts w:ascii="Times New Roman" w:cs="Times New Roman" w:hAnsi="Times New Roman" w:hint="eastAsia"/>
          <w:color w:val="1F1F1F"/>
          <w:sz w:val="28"/>
          <w:szCs w:val="28"/>
        </w:rPr>
        <w:t xml:space="preserve"> by </w:t>
      </w:r>
      <w:r>
        <w:rPr>
          <w:rFonts w:ascii="Times New Roman" w:cs="Times New Roman" w:hAnsi="Times New Roman"/>
          <w:color w:val="1F1F1F"/>
          <w:sz w:val="28"/>
          <w:szCs w:val="28"/>
        </w:rPr>
        <w:t xml:space="preserve">President Xi Jinping, enhance the supervision of imported </w:t>
      </w:r>
      <w:r>
        <w:rPr>
          <w:rFonts w:ascii="Times New Roman" w:cs="Times New Roman" w:hAnsi="Times New Roman" w:hint="eastAsia"/>
          <w:bCs/>
          <w:color w:val="1F1F1F"/>
          <w:sz w:val="28"/>
          <w:szCs w:val="28"/>
          <w:bdr w:val="none" w:sz="0" w:space="0" w:color="auto"/>
        </w:rPr>
        <w:t>food</w:t>
      </w:r>
      <w:r>
        <w:rPr>
          <w:rFonts w:ascii="Times New Roman" w:cs="Times New Roman" w:hAnsi="Times New Roman"/>
          <w:color w:val="1F1F1F"/>
          <w:sz w:val="28"/>
          <w:szCs w:val="28"/>
        </w:rPr>
        <w:t>, and facilitate trade, the General Administration of Custom</w:t>
      </w:r>
      <w:r>
        <w:rPr>
          <w:rFonts w:ascii="Times New Roman" w:cs="Times New Roman" w:hAnsi="Times New Roman" w:hint="eastAsia"/>
          <w:color w:val="1F1F1F"/>
          <w:sz w:val="28"/>
          <w:szCs w:val="28"/>
        </w:rPr>
        <w:t>s</w:t>
      </w:r>
      <w:r>
        <w:rPr>
          <w:rFonts w:ascii="Times New Roman" w:cs="Times New Roman" w:hAnsi="Times New Roman"/>
          <w:color w:val="1F1F1F"/>
          <w:sz w:val="28"/>
          <w:szCs w:val="28"/>
        </w:rPr>
        <w:t xml:space="preserve"> </w:t>
      </w:r>
      <w:r>
        <w:rPr>
          <w:rFonts w:ascii="Times New Roman" w:cs="Times New Roman" w:hAnsi="Times New Roman" w:hint="eastAsia"/>
          <w:color w:val="1F1F1F"/>
          <w:sz w:val="28"/>
          <w:szCs w:val="28"/>
        </w:rPr>
        <w:t>(</w:t>
      </w:r>
      <w:r>
        <w:rPr>
          <w:rFonts w:ascii="Times New Roman" w:cs="Times New Roman" w:hAnsi="Times New Roman" w:hint="eastAsia"/>
          <w:b/>
          <w:bCs/>
          <w:color w:val="1F1F1F"/>
          <w:sz w:val="28"/>
          <w:szCs w:val="28"/>
          <w:bdr w:val="none" w:sz="0" w:space="0" w:color="auto"/>
        </w:rPr>
        <w:t>GACC</w:t>
      </w:r>
      <w:r>
        <w:rPr>
          <w:rFonts w:ascii="Times New Roman" w:cs="Times New Roman" w:hAnsi="Times New Roman" w:hint="eastAsia"/>
          <w:color w:val="1F1F1F"/>
          <w:sz w:val="28"/>
          <w:szCs w:val="28"/>
        </w:rPr>
        <w:t>)</w:t>
      </w:r>
      <w:r>
        <w:rPr>
          <w:rFonts w:ascii="Times New Roman" w:cs="Times New Roman" w:hAnsi="Times New Roman"/>
          <w:color w:val="1F1F1F"/>
          <w:sz w:val="28"/>
          <w:szCs w:val="28"/>
        </w:rPr>
        <w:t xml:space="preserve"> recently released the revised "the  Administrative Provisions of the Customs of the People's Republic of China on Registration of Overseas Manufactures for Export of Food to China" (Promulgated under Decree No. 280 of </w:t>
      </w:r>
      <w:r>
        <w:rPr>
          <w:rFonts w:ascii="Times New Roman" w:cs="Times New Roman" w:hAnsi="Times New Roman" w:hint="eastAsia"/>
          <w:color w:val="1F1F1F"/>
          <w:sz w:val="28"/>
          <w:szCs w:val="28"/>
        </w:rPr>
        <w:t>GACC</w:t>
      </w:r>
      <w:r>
        <w:rPr>
          <w:rFonts w:ascii="Times New Roman" w:cs="Times New Roman" w:hAnsi="Times New Roman"/>
          <w:color w:val="1F1F1F"/>
          <w:sz w:val="28"/>
          <w:szCs w:val="28"/>
        </w:rPr>
        <w:t xml:space="preserve"> and its accompanying implementation announcement (</w:t>
      </w:r>
      <w:r>
        <w:rPr>
          <w:rFonts w:ascii="Times New Roman" w:cs="Times New Roman" w:hAnsi="Times New Roman"/>
          <w:b/>
          <w:bCs/>
          <w:color w:val="1F1F1F"/>
          <w:sz w:val="28"/>
          <w:szCs w:val="28"/>
          <w:bdr w:val="none" w:sz="0" w:space="0" w:color="auto"/>
        </w:rPr>
        <w:t>Announcement No. 27, 2026</w:t>
      </w:r>
      <w:r>
        <w:rPr>
          <w:rFonts w:ascii="Times New Roman" w:cs="Times New Roman" w:hAnsi="Times New Roman" w:hint="eastAsia"/>
          <w:b/>
          <w:bCs/>
          <w:color w:val="1F1F1F"/>
          <w:sz w:val="28"/>
          <w:szCs w:val="28"/>
          <w:bdr w:val="none" w:sz="0" w:space="0" w:color="auto"/>
        </w:rPr>
        <w:t xml:space="preserve"> of GACC</w:t>
      </w:r>
      <w:r>
        <w:rPr>
          <w:rFonts w:ascii="Times New Roman" w:cs="Times New Roman" w:hAnsi="Times New Roman"/>
          <w:color w:val="1F1F1F"/>
          <w:sz w:val="28"/>
          <w:szCs w:val="28"/>
        </w:rPr>
        <w:t>)</w:t>
      </w:r>
      <w:r>
        <w:rPr>
          <w:rFonts w:ascii="Times New Roman" w:cs="Times New Roman" w:hAnsi="Times New Roman" w:hint="eastAsia"/>
          <w:color w:val="1F1F1F"/>
          <w:sz w:val="28"/>
          <w:szCs w:val="28"/>
        </w:rPr>
        <w:t xml:space="preserve">, hereinafter collectively referred to as </w:t>
      </w:r>
      <w:r>
        <w:rPr>
          <w:rFonts w:ascii="Times New Roman" w:cs="Times New Roman" w:hAnsi="Times New Roman" w:hint="eastAsia"/>
          <w:b/>
          <w:color w:val="1F1F1F"/>
          <w:sz w:val="28"/>
          <w:szCs w:val="28"/>
        </w:rPr>
        <w:t>the Registration Systems</w:t>
      </w:r>
      <w:r>
        <w:rPr>
          <w:rFonts w:ascii="Times New Roman" w:cs="Times New Roman" w:hAnsi="Times New Roman" w:hint="eastAsia"/>
          <w:color w:val="1F1F1F"/>
          <w:sz w:val="28"/>
          <w:szCs w:val="28"/>
        </w:rPr>
        <w:t xml:space="preserve">. Relevant measures </w:t>
      </w:r>
      <w:r>
        <w:rPr>
          <w:rFonts w:ascii="Times New Roman" w:cs="Times New Roman" w:hAnsi="Times New Roman"/>
          <w:color w:val="1F1F1F"/>
          <w:sz w:val="28"/>
          <w:szCs w:val="28"/>
        </w:rPr>
        <w:t>and</w:t>
      </w:r>
      <w:r>
        <w:rPr>
          <w:rFonts w:ascii="Times New Roman" w:cs="Times New Roman" w:hAnsi="Times New Roman" w:hint="eastAsia"/>
          <w:color w:val="1F1F1F"/>
          <w:sz w:val="28"/>
          <w:szCs w:val="28"/>
        </w:rPr>
        <w:t xml:space="preserve"> policies shall enter into force on June 1</w:t>
      </w:r>
      <w:r>
        <w:rPr>
          <w:rFonts w:ascii="Times New Roman" w:cs="Times New Roman" w:hAnsi="Times New Roman" w:hint="eastAsia"/>
          <w:color w:val="1F1F1F"/>
          <w:sz w:val="28"/>
          <w:szCs w:val="28"/>
          <w:vertAlign w:val="superscript"/>
        </w:rPr>
        <w:t>st</w:t>
      </w:r>
      <w:r>
        <w:rPr>
          <w:rFonts w:ascii="Times New Roman" w:cs="Times New Roman" w:hAnsi="Times New Roman" w:hint="eastAsia"/>
          <w:color w:val="1F1F1F"/>
          <w:sz w:val="28"/>
          <w:szCs w:val="28"/>
        </w:rPr>
        <w:t>,2026.</w:t>
      </w:r>
    </w:p>
    <w:p>
      <w:pPr>
        <w:pStyle w:val="173"/>
        <w:spacing w:after="0" w:afterAutospacing="0"/>
        <w:jc w:val="both"/>
        <w:rPr>
          <w:rFonts w:ascii="Times New Roman" w:cs="Times New Roman" w:hAnsi="Times New Roman"/>
          <w:color w:val="1F1F1F"/>
          <w:sz w:val="28"/>
          <w:szCs w:val="28"/>
        </w:rPr>
      </w:pPr>
      <w:r>
        <w:rPr>
          <w:rFonts w:ascii="Times New Roman" w:cs="Times New Roman" w:hAnsi="Times New Roman"/>
          <w:color w:val="1F1F1F"/>
          <w:sz w:val="28"/>
          <w:szCs w:val="28"/>
        </w:rPr>
        <w:t xml:space="preserve">As a primary mechanism for enforcing </w:t>
      </w:r>
      <w:r>
        <w:rPr>
          <w:rFonts w:ascii="Times New Roman" w:cs="Times New Roman" w:hAnsi="Times New Roman"/>
          <w:b/>
          <w:color w:val="1F1F1F"/>
          <w:sz w:val="28"/>
          <w:szCs w:val="28"/>
        </w:rPr>
        <w:t>the</w:t>
      </w:r>
      <w:r>
        <w:rPr>
          <w:b/>
          <w:sz w:val="28"/>
          <w:szCs w:val="28"/>
        </w:rPr>
        <w:t xml:space="preserve"> </w:t>
      </w:r>
      <w:r>
        <w:rPr>
          <w:rFonts w:ascii="Times New Roman" w:cs="Times New Roman" w:hAnsi="Times New Roman"/>
          <w:b/>
          <w:color w:val="1F1F1F"/>
          <w:sz w:val="28"/>
          <w:szCs w:val="28"/>
        </w:rPr>
        <w:t>Food Safety Law of the People's Republic of China</w:t>
      </w:r>
      <w:r>
        <w:rPr>
          <w:rFonts w:ascii="Times New Roman" w:cs="Times New Roman" w:hAnsi="Times New Roman"/>
          <w:color w:val="1F1F1F"/>
          <w:sz w:val="28"/>
          <w:szCs w:val="28"/>
        </w:rPr>
        <w:t xml:space="preserve"> and strengthening source-based regulation and risk management, the </w:t>
      </w:r>
      <w:r>
        <w:rPr>
          <w:rFonts w:ascii="Times New Roman" w:cs="Times New Roman" w:hAnsi="Times New Roman" w:hint="eastAsia"/>
          <w:color w:val="1F1F1F"/>
          <w:sz w:val="28"/>
          <w:szCs w:val="28"/>
        </w:rPr>
        <w:t>R</w:t>
      </w:r>
      <w:r>
        <w:rPr>
          <w:rFonts w:ascii="Times New Roman" w:cs="Times New Roman" w:hAnsi="Times New Roman"/>
          <w:color w:val="1F1F1F"/>
          <w:sz w:val="28"/>
          <w:szCs w:val="28"/>
        </w:rPr>
        <w:t xml:space="preserve">egistration </w:t>
      </w:r>
      <w:r>
        <w:rPr>
          <w:rFonts w:ascii="Times New Roman" w:cs="Times New Roman" w:hAnsi="Times New Roman" w:hint="eastAsia"/>
          <w:color w:val="1F1F1F"/>
          <w:sz w:val="28"/>
          <w:szCs w:val="28"/>
        </w:rPr>
        <w:t>S</w:t>
      </w:r>
      <w:r>
        <w:rPr>
          <w:rFonts w:ascii="Times New Roman" w:cs="Times New Roman" w:hAnsi="Times New Roman"/>
          <w:color w:val="1F1F1F"/>
          <w:sz w:val="28"/>
          <w:szCs w:val="28"/>
        </w:rPr>
        <w:t>ystem plays a pivotal role in</w:t>
      </w:r>
      <w:r>
        <w:rPr>
          <w:rFonts w:ascii="Times New Roman" w:cs="Times New Roman" w:hAnsi="Times New Roman" w:hint="eastAsia"/>
          <w:color w:val="1F1F1F"/>
          <w:sz w:val="28"/>
          <w:szCs w:val="28"/>
        </w:rPr>
        <w:t xml:space="preserve"> e</w:t>
      </w:r>
      <w:r>
        <w:rPr>
          <w:rFonts w:ascii="Times New Roman" w:cs="Times New Roman" w:hAnsi="Times New Roman"/>
          <w:color w:val="1F1F1F"/>
          <w:sz w:val="28"/>
          <w:szCs w:val="28"/>
        </w:rPr>
        <w:t>nsuring the quality and safety of imported</w:t>
      </w:r>
      <w:r>
        <w:rPr>
          <w:rFonts w:ascii="Times New Roman" w:cs="Times New Roman" w:hAnsi="Times New Roman" w:hint="eastAsia"/>
          <w:color w:val="1F1F1F"/>
          <w:sz w:val="28"/>
          <w:szCs w:val="28"/>
        </w:rPr>
        <w:t xml:space="preserve"> food, a</w:t>
      </w:r>
      <w:r>
        <w:rPr>
          <w:rFonts w:ascii="Times New Roman" w:cs="Times New Roman" w:hAnsi="Times New Roman"/>
          <w:color w:val="1F1F1F"/>
          <w:sz w:val="28"/>
          <w:szCs w:val="28"/>
        </w:rPr>
        <w:t xml:space="preserve">chieving precise </w:t>
      </w:r>
      <w:r>
        <w:rPr>
          <w:rFonts w:ascii="Times New Roman" w:cs="Times New Roman" w:hAnsi="Times New Roman" w:hint="eastAsia"/>
          <w:color w:val="1F1F1F"/>
          <w:sz w:val="28"/>
          <w:szCs w:val="28"/>
        </w:rPr>
        <w:t xml:space="preserve">food safety </w:t>
      </w:r>
      <w:r>
        <w:rPr>
          <w:rFonts w:ascii="Times New Roman" w:cs="Times New Roman" w:hAnsi="Times New Roman"/>
          <w:color w:val="1F1F1F"/>
          <w:sz w:val="28"/>
          <w:szCs w:val="28"/>
        </w:rPr>
        <w:t>risk traceability</w:t>
      </w:r>
      <w:r>
        <w:rPr>
          <w:rFonts w:ascii="Times New Roman" w:cs="Times New Roman" w:hAnsi="Times New Roman" w:hint="eastAsia"/>
          <w:color w:val="1F1F1F"/>
          <w:sz w:val="28"/>
          <w:szCs w:val="28"/>
        </w:rPr>
        <w:t>, e</w:t>
      </w:r>
      <w:r>
        <w:rPr>
          <w:rFonts w:ascii="Times New Roman" w:cs="Times New Roman" w:hAnsi="Times New Roman"/>
          <w:color w:val="1F1F1F"/>
          <w:sz w:val="28"/>
          <w:szCs w:val="28"/>
        </w:rPr>
        <w:t xml:space="preserve">nabling seamless coordination between importers and overseas </w:t>
      </w:r>
      <w:r>
        <w:rPr>
          <w:rFonts w:ascii="Times New Roman" w:cs="Times New Roman" w:hAnsi="Times New Roman" w:hint="eastAsia"/>
          <w:color w:val="1F1F1F"/>
          <w:sz w:val="28"/>
          <w:szCs w:val="28"/>
        </w:rPr>
        <w:t>manufacturers, and s</w:t>
      </w:r>
      <w:r>
        <w:rPr>
          <w:rFonts w:ascii="Times New Roman" w:cs="Times New Roman" w:hAnsi="Times New Roman"/>
          <w:color w:val="1F1F1F"/>
          <w:sz w:val="28"/>
          <w:szCs w:val="28"/>
        </w:rPr>
        <w:t xml:space="preserve">upporting the high-quality development of import </w:t>
      </w:r>
      <w:r>
        <w:rPr>
          <w:rFonts w:ascii="Times New Roman" w:cs="Times New Roman" w:hAnsi="Times New Roman" w:hint="eastAsia"/>
          <w:color w:val="1F1F1F"/>
          <w:sz w:val="28"/>
          <w:szCs w:val="28"/>
        </w:rPr>
        <w:t xml:space="preserve">food </w:t>
      </w:r>
      <w:r>
        <w:rPr>
          <w:rFonts w:ascii="Times New Roman" w:cs="Times New Roman" w:hAnsi="Times New Roman"/>
          <w:color w:val="1F1F1F"/>
          <w:sz w:val="28"/>
          <w:szCs w:val="28"/>
        </w:rPr>
        <w:t>trade.</w:t>
      </w:r>
      <w:r>
        <w:rPr>
          <w:rFonts w:ascii="Times New Roman" w:cs="Times New Roman" w:hAnsi="Times New Roman" w:hint="eastAsia"/>
          <w:color w:val="1F1F1F"/>
          <w:sz w:val="28"/>
          <w:szCs w:val="28"/>
        </w:rPr>
        <w:t xml:space="preserve"> </w:t>
      </w:r>
      <w:r>
        <w:rPr>
          <w:rFonts w:ascii="Times New Roman" w:cs="Times New Roman" w:hAnsi="Times New Roman"/>
          <w:color w:val="1F1F1F"/>
          <w:sz w:val="28"/>
          <w:szCs w:val="28"/>
        </w:rPr>
        <w:t xml:space="preserve">Since </w:t>
      </w:r>
      <w:r>
        <w:rPr>
          <w:rFonts w:ascii="Times New Roman" w:cs="Times New Roman" w:hAnsi="Times New Roman" w:hint="eastAsia"/>
          <w:color w:val="1F1F1F"/>
          <w:sz w:val="28"/>
          <w:szCs w:val="28"/>
        </w:rPr>
        <w:t xml:space="preserve">the current </w:t>
      </w:r>
      <w:r>
        <w:rPr>
          <w:rFonts w:ascii="Times New Roman" w:cs="Times New Roman" w:hAnsi="Times New Roman"/>
          <w:color w:val="1F1F1F"/>
          <w:sz w:val="28"/>
          <w:szCs w:val="28"/>
        </w:rPr>
        <w:t xml:space="preserve">official implementation </w:t>
      </w:r>
      <w:r>
        <w:rPr>
          <w:rFonts w:ascii="Times New Roman" w:cs="Times New Roman" w:hAnsi="Times New Roman" w:hint="eastAsia"/>
          <w:color w:val="1F1F1F"/>
          <w:sz w:val="28"/>
          <w:szCs w:val="28"/>
        </w:rPr>
        <w:t xml:space="preserve">of Registration </w:t>
      </w:r>
      <w:r>
        <w:rPr>
          <w:rFonts w:ascii="Times New Roman" w:cs="Times New Roman" w:hAnsi="Times New Roman"/>
          <w:color w:val="1F1F1F"/>
          <w:sz w:val="28"/>
          <w:szCs w:val="28"/>
        </w:rPr>
        <w:t>Provisions’</w:t>
      </w:r>
      <w:r>
        <w:rPr>
          <w:rFonts w:ascii="Times New Roman" w:cs="Times New Roman" w:hAnsi="Times New Roman" w:hint="eastAsia"/>
          <w:color w:val="1F1F1F"/>
          <w:sz w:val="28"/>
          <w:szCs w:val="28"/>
        </w:rPr>
        <w:t xml:space="preserve"> </w:t>
      </w:r>
      <w:r>
        <w:rPr>
          <w:rFonts w:ascii="Times New Roman" w:cs="Times New Roman" w:hAnsi="Times New Roman"/>
          <w:color w:val="1F1F1F"/>
          <w:sz w:val="28"/>
          <w:szCs w:val="28"/>
        </w:rPr>
        <w:t>on January 1, 2022, over the past four</w:t>
      </w:r>
      <w:r>
        <w:rPr>
          <w:rFonts w:ascii="Times New Roman" w:cs="Times New Roman" w:hAnsi="Times New Roman" w:hint="eastAsia"/>
          <w:color w:val="1F1F1F"/>
          <w:sz w:val="28"/>
          <w:szCs w:val="28"/>
        </w:rPr>
        <w:t>-plus</w:t>
      </w:r>
      <w:r>
        <w:rPr>
          <w:rFonts w:ascii="Times New Roman" w:cs="Times New Roman" w:hAnsi="Times New Roman"/>
          <w:color w:val="1F1F1F"/>
          <w:sz w:val="28"/>
          <w:szCs w:val="28"/>
        </w:rPr>
        <w:t xml:space="preserve"> years, more than </w:t>
      </w:r>
      <w:r>
        <w:rPr>
          <w:rFonts w:ascii="Times New Roman" w:cs="Times New Roman" w:hAnsi="Times New Roman" w:hint="eastAsia"/>
          <w:color w:val="1F1F1F"/>
          <w:sz w:val="28"/>
          <w:szCs w:val="28"/>
        </w:rPr>
        <w:t>96,000</w:t>
      </w:r>
      <w:r>
        <w:rPr>
          <w:rFonts w:ascii="Times New Roman" w:cs="Times New Roman" w:hAnsi="Times New Roman"/>
          <w:color w:val="1F1F1F"/>
          <w:sz w:val="28"/>
          <w:szCs w:val="28"/>
        </w:rPr>
        <w:t xml:space="preserve"> food </w:t>
      </w:r>
      <w:r>
        <w:rPr>
          <w:rFonts w:ascii="Times New Roman" w:cs="Times New Roman" w:hAnsi="Times New Roman" w:hint="eastAsia"/>
          <w:color w:val="1F1F1F"/>
          <w:sz w:val="28"/>
          <w:szCs w:val="28"/>
        </w:rPr>
        <w:t>manufacturers</w:t>
      </w:r>
      <w:r>
        <w:rPr>
          <w:rFonts w:ascii="Times New Roman" w:cs="Times New Roman" w:hAnsi="Times New Roman"/>
          <w:color w:val="1F1F1F"/>
          <w:sz w:val="28"/>
          <w:szCs w:val="28"/>
        </w:rPr>
        <w:t xml:space="preserve"> from </w:t>
      </w:r>
      <w:r>
        <w:rPr>
          <w:rFonts w:ascii="Times New Roman" w:cs="Times New Roman" w:hAnsi="Times New Roman" w:hint="eastAsia"/>
          <w:color w:val="1F1F1F"/>
          <w:sz w:val="28"/>
          <w:szCs w:val="28"/>
        </w:rPr>
        <w:t>178</w:t>
      </w:r>
      <w:r>
        <w:rPr>
          <w:rFonts w:ascii="Times New Roman" w:cs="Times New Roman" w:hAnsi="Times New Roman"/>
          <w:color w:val="1F1F1F"/>
          <w:sz w:val="28"/>
          <w:szCs w:val="28"/>
        </w:rPr>
        <w:t xml:space="preserve"> countries and regions around the world have registered in China.</w:t>
      </w:r>
      <w:r>
        <w:rPr>
          <w:sz w:val="28"/>
          <w:szCs w:val="28"/>
        </w:rPr>
        <w:t xml:space="preserve"> </w:t>
      </w:r>
      <w:r>
        <w:rPr>
          <w:rFonts w:ascii="Times New Roman" w:cs="Times New Roman" w:hAnsi="Times New Roman"/>
          <w:color w:val="1F1F1F"/>
          <w:sz w:val="28"/>
          <w:szCs w:val="28"/>
        </w:rPr>
        <w:t xml:space="preserve">With the continuous </w:t>
      </w:r>
      <w:r>
        <w:rPr>
          <w:rFonts w:ascii="Times New Roman" w:cs="Times New Roman" w:hAnsi="Times New Roman" w:hint="eastAsia"/>
          <w:color w:val="1F1F1F"/>
          <w:sz w:val="28"/>
          <w:szCs w:val="28"/>
        </w:rPr>
        <w:t>boost</w:t>
      </w:r>
      <w:r>
        <w:rPr>
          <w:rFonts w:ascii="Times New Roman" w:cs="Times New Roman" w:hAnsi="Times New Roman"/>
          <w:color w:val="1F1F1F"/>
          <w:sz w:val="28"/>
          <w:szCs w:val="28"/>
        </w:rPr>
        <w:t xml:space="preserve"> of </w:t>
      </w:r>
      <w:r>
        <w:rPr>
          <w:rFonts w:ascii="Times New Roman" w:cs="Times New Roman" w:hAnsi="Times New Roman" w:hint="eastAsia"/>
          <w:color w:val="1F1F1F"/>
          <w:sz w:val="28"/>
          <w:szCs w:val="28"/>
        </w:rPr>
        <w:t xml:space="preserve">the </w:t>
      </w:r>
      <w:r>
        <w:rPr>
          <w:rFonts w:ascii="Times New Roman" w:cs="Times New Roman" w:hAnsi="Times New Roman"/>
          <w:color w:val="1F1F1F"/>
          <w:sz w:val="28"/>
          <w:szCs w:val="28"/>
        </w:rPr>
        <w:t>compliant suppliers</w:t>
      </w:r>
      <w:r>
        <w:rPr>
          <w:rFonts w:ascii="Times New Roman" w:cs="Times New Roman" w:hAnsi="Times New Roman" w:hint="eastAsia"/>
          <w:color w:val="1F1F1F"/>
          <w:sz w:val="28"/>
          <w:szCs w:val="28"/>
        </w:rPr>
        <w:t xml:space="preserve">, the imported food </w:t>
      </w:r>
      <w:r>
        <w:rPr>
          <w:rFonts w:ascii="Times New Roman" w:cs="Times New Roman" w:hAnsi="Times New Roman"/>
          <w:color w:val="1F1F1F"/>
          <w:sz w:val="28"/>
          <w:szCs w:val="28"/>
        </w:rPr>
        <w:t>trades of China rise</w:t>
      </w:r>
      <w:r>
        <w:rPr>
          <w:rFonts w:ascii="Times New Roman" w:cs="Times New Roman" w:hAnsi="Times New Roman" w:hint="eastAsia"/>
          <w:color w:val="1F1F1F"/>
          <w:sz w:val="28"/>
          <w:szCs w:val="28"/>
        </w:rPr>
        <w:t xml:space="preserve"> up steadily, from </w:t>
      </w:r>
      <w:r>
        <w:rPr>
          <w:rFonts w:ascii="Times New Roman" w:cs="Times New Roman" w:hAnsi="Times New Roman"/>
          <w:color w:val="1F1F1F"/>
          <w:sz w:val="28"/>
          <w:szCs w:val="28"/>
        </w:rPr>
        <w:t>1.25 trillion Yuan</w:t>
      </w:r>
      <w:r>
        <w:rPr>
          <w:rFonts w:ascii="Times New Roman" w:cs="Times New Roman" w:hAnsi="Times New Roman" w:hint="eastAsia"/>
          <w:color w:val="1F1F1F"/>
          <w:sz w:val="28"/>
          <w:szCs w:val="28"/>
        </w:rPr>
        <w:t xml:space="preserve"> in 2021 to 1.32 trillion </w:t>
      </w:r>
      <w:r>
        <w:rPr>
          <w:rFonts w:ascii="Times New Roman" w:cs="Times New Roman" w:hAnsi="Times New Roman"/>
          <w:color w:val="1F1F1F"/>
          <w:sz w:val="28"/>
          <w:szCs w:val="28"/>
        </w:rPr>
        <w:t>Yuan</w:t>
      </w:r>
      <w:r>
        <w:rPr>
          <w:rFonts w:ascii="Times New Roman" w:cs="Times New Roman" w:hAnsi="Times New Roman" w:hint="eastAsia"/>
          <w:color w:val="1F1F1F"/>
          <w:sz w:val="28"/>
          <w:szCs w:val="28"/>
        </w:rPr>
        <w:t xml:space="preserve"> in 2025 with an a</w:t>
      </w:r>
      <w:r>
        <w:rPr>
          <w:rFonts w:ascii="Times New Roman" w:cs="Times New Roman" w:hAnsi="Times New Roman"/>
          <w:color w:val="1F1F1F"/>
          <w:sz w:val="28"/>
          <w:szCs w:val="28"/>
        </w:rPr>
        <w:t>verage annual growth rate of 1.4%</w:t>
      </w:r>
      <w:r>
        <w:rPr>
          <w:rFonts w:ascii="Times New Roman" w:cs="Times New Roman" w:hAnsi="Times New Roman" w:hint="eastAsia"/>
          <w:color w:val="1F1F1F"/>
          <w:sz w:val="28"/>
          <w:szCs w:val="28"/>
        </w:rPr>
        <w:t>.</w:t>
      </w:r>
      <w:r>
        <w:rPr>
          <w:rFonts w:ascii="Times New Roman" w:cs="Times New Roman" w:hAnsi="Times New Roman"/>
          <w:color w:val="1F1F1F"/>
          <w:sz w:val="28"/>
          <w:szCs w:val="28"/>
        </w:rPr>
        <w:t xml:space="preserve">While ensuring the quality and safety of imported food, </w:t>
      </w:r>
      <w:r>
        <w:rPr>
          <w:rFonts w:ascii="Times New Roman" w:cs="Times New Roman" w:hAnsi="Times New Roman" w:hint="eastAsia"/>
          <w:color w:val="1F1F1F"/>
          <w:sz w:val="28"/>
          <w:szCs w:val="28"/>
        </w:rPr>
        <w:t>the Registration System</w:t>
      </w:r>
      <w:r>
        <w:rPr>
          <w:rFonts w:ascii="Times New Roman" w:cs="Times New Roman" w:hAnsi="Times New Roman"/>
          <w:color w:val="1F1F1F"/>
          <w:sz w:val="28"/>
          <w:szCs w:val="28"/>
        </w:rPr>
        <w:t xml:space="preserve"> has effectively promoted the healthy development of the food trade</w:t>
      </w:r>
    </w:p>
    <w:p>
      <w:pPr>
        <w:pStyle w:val="173"/>
        <w:spacing w:after="0" w:afterAutospacing="0"/>
        <w:jc w:val="both"/>
        <w:rPr>
          <w:rFonts w:ascii="Times New Roman" w:cs="Times New Roman" w:hAnsi="Times New Roman"/>
          <w:color w:val="1F1F1F"/>
          <w:sz w:val="28"/>
          <w:szCs w:val="28"/>
        </w:rPr>
      </w:pPr>
      <w:r>
        <w:rPr>
          <w:rFonts w:ascii="Times New Roman" w:cs="Times New Roman" w:hAnsi="Times New Roman"/>
          <w:color w:val="1F1F1F"/>
          <w:sz w:val="28"/>
          <w:szCs w:val="28"/>
        </w:rPr>
        <w:t xml:space="preserve">In response to increasing levels of national openness and a rapid surge in registration applications from overseas </w:t>
      </w:r>
      <w:r>
        <w:rPr>
          <w:rFonts w:ascii="Times New Roman" w:cs="Times New Roman" w:hAnsi="Times New Roman" w:hint="eastAsia"/>
          <w:color w:val="1F1F1F"/>
          <w:sz w:val="28"/>
          <w:szCs w:val="28"/>
        </w:rPr>
        <w:t>manufacturers</w:t>
      </w:r>
      <w:r>
        <w:rPr>
          <w:rFonts w:ascii="Times New Roman" w:cs="Times New Roman" w:hAnsi="Times New Roman"/>
          <w:color w:val="1F1F1F"/>
          <w:sz w:val="28"/>
          <w:szCs w:val="28"/>
        </w:rPr>
        <w:t xml:space="preserve">, it became necessary to refine the </w:t>
      </w:r>
      <w:r>
        <w:rPr>
          <w:rFonts w:ascii="Times New Roman" w:cs="Times New Roman" w:hAnsi="Times New Roman" w:hint="eastAsia"/>
          <w:color w:val="1F1F1F"/>
          <w:sz w:val="28"/>
          <w:szCs w:val="28"/>
        </w:rPr>
        <w:t>Registration S</w:t>
      </w:r>
      <w:r>
        <w:rPr>
          <w:rFonts w:ascii="Times New Roman" w:cs="Times New Roman" w:hAnsi="Times New Roman"/>
          <w:color w:val="1F1F1F"/>
          <w:sz w:val="28"/>
          <w:szCs w:val="28"/>
        </w:rPr>
        <w:t xml:space="preserve">ystem to better fulfill "Guard the national border and promote development" </w:t>
      </w:r>
      <w:r>
        <w:rPr>
          <w:rFonts w:ascii="Times New Roman" w:cs="Times New Roman" w:hAnsi="Times New Roman" w:hint="eastAsia"/>
          <w:color w:val="1F1F1F"/>
          <w:sz w:val="28"/>
          <w:szCs w:val="28"/>
        </w:rPr>
        <w:t>as Customs</w:t>
      </w:r>
      <w:r>
        <w:rPr>
          <w:rFonts w:ascii="Times New Roman" w:cs="Times New Roman" w:hAnsi="Times New Roman"/>
          <w:color w:val="1F1F1F"/>
          <w:sz w:val="28"/>
          <w:szCs w:val="28"/>
        </w:rPr>
        <w:t xml:space="preserve">’ </w:t>
      </w:r>
      <w:r>
        <w:rPr>
          <w:rFonts w:ascii="Times New Roman" w:cs="Times New Roman" w:hAnsi="Times New Roman" w:hint="eastAsia"/>
          <w:color w:val="1F1F1F"/>
          <w:sz w:val="28"/>
          <w:szCs w:val="28"/>
        </w:rPr>
        <w:t>duty and</w:t>
      </w:r>
      <w:r>
        <w:rPr>
          <w:rFonts w:ascii="Times New Roman" w:cs="Times New Roman" w:hAnsi="Times New Roman"/>
          <w:color w:val="1F1F1F"/>
          <w:sz w:val="28"/>
          <w:szCs w:val="28"/>
        </w:rPr>
        <w:t xml:space="preserve"> mission. </w:t>
      </w:r>
      <w:r>
        <w:rPr>
          <w:rFonts w:ascii="Times New Roman" w:cs="Times New Roman" w:hAnsi="Times New Roman" w:hint="eastAsia"/>
          <w:color w:val="1F1F1F"/>
          <w:sz w:val="28"/>
          <w:szCs w:val="28"/>
        </w:rPr>
        <w:t>Therefore, b</w:t>
      </w:r>
      <w:r>
        <w:rPr>
          <w:rFonts w:ascii="Times New Roman" w:cs="Times New Roman" w:hAnsi="Times New Roman"/>
          <w:color w:val="1F1F1F"/>
          <w:sz w:val="28"/>
          <w:szCs w:val="28"/>
        </w:rPr>
        <w:t xml:space="preserve">uilding upon previous reform achievements and guided by the principles of </w:t>
      </w:r>
      <w:r>
        <w:rPr>
          <w:rFonts w:ascii="Times New Roman" w:cs="Times New Roman" w:hAnsi="Times New Roman"/>
          <w:b/>
          <w:bCs/>
          <w:color w:val="1F1F1F"/>
          <w:sz w:val="28"/>
          <w:szCs w:val="28"/>
          <w:bdr w:val="none" w:sz="0" w:space="0" w:color="auto"/>
        </w:rPr>
        <w:t>international co-governance, risk management, whole-process control, and pragmatic rigor</w:t>
      </w:r>
      <w:r>
        <w:rPr>
          <w:rFonts w:ascii="Times New Roman" w:cs="Times New Roman" w:hAnsi="Times New Roman"/>
          <w:color w:val="1F1F1F"/>
          <w:sz w:val="28"/>
          <w:szCs w:val="28"/>
        </w:rPr>
        <w:t xml:space="preserve">, the current </w:t>
      </w:r>
      <w:r>
        <w:rPr>
          <w:rFonts w:ascii="Times New Roman" w:cs="Times New Roman" w:hAnsi="Times New Roman" w:hint="eastAsia"/>
          <w:color w:val="1F1F1F"/>
          <w:sz w:val="28"/>
          <w:szCs w:val="28"/>
        </w:rPr>
        <w:t>Registration</w:t>
      </w:r>
      <w:r>
        <w:rPr>
          <w:rFonts w:ascii="Times New Roman" w:cs="Times New Roman" w:hAnsi="Times New Roman"/>
          <w:color w:val="1F1F1F"/>
          <w:sz w:val="28"/>
          <w:szCs w:val="28"/>
        </w:rPr>
        <w:t xml:space="preserve"> Provisions have been updated with four key characteristics:</w:t>
      </w:r>
    </w:p>
    <w:p>
      <w:pPr>
        <w:pStyle w:val="173"/>
        <w:spacing w:after="0" w:afterAutospacing="0"/>
        <w:jc w:val="both"/>
        <w:rPr>
          <w:rFonts w:ascii="Times New Roman" w:cs="Times New Roman" w:hAnsi="Times New Roman"/>
          <w:color w:val="1F1F1F"/>
          <w:sz w:val="28"/>
          <w:szCs w:val="28"/>
        </w:rPr>
      </w:pPr>
      <w:r>
        <w:rPr>
          <w:rFonts w:ascii="Times New Roman" w:cs="Times New Roman" w:hAnsi="Times New Roman" w:hint="eastAsia"/>
          <w:b/>
          <w:bCs/>
          <w:color w:val="1F1F1F"/>
          <w:sz w:val="28"/>
          <w:szCs w:val="28"/>
          <w:bdr w:val="none" w:sz="0" w:space="0" w:color="auto"/>
        </w:rPr>
        <w:t>First of all, t</w:t>
      </w:r>
      <w:r>
        <w:rPr>
          <w:rFonts w:ascii="Times New Roman" w:cs="Times New Roman" w:hAnsi="Times New Roman"/>
          <w:b/>
          <w:bCs/>
          <w:color w:val="1F1F1F"/>
          <w:sz w:val="28"/>
          <w:szCs w:val="28"/>
          <w:bdr w:val="none" w:sz="0" w:space="0" w:color="auto"/>
        </w:rPr>
        <w:t>ransparency and International Alignment</w:t>
      </w:r>
      <w:r>
        <w:rPr>
          <w:rFonts w:ascii="Times New Roman" w:cs="Times New Roman" w:hAnsi="Times New Roman" w:hint="eastAsia"/>
          <w:b/>
          <w:bCs/>
          <w:color w:val="1F1F1F"/>
          <w:sz w:val="28"/>
          <w:szCs w:val="28"/>
          <w:bdr w:val="none" w:sz="0" w:space="0" w:color="auto"/>
        </w:rPr>
        <w:t xml:space="preserve">. </w:t>
      </w:r>
      <w:r>
        <w:rPr>
          <w:rFonts w:ascii="Times New Roman" w:cs="Times New Roman" w:hAnsi="Times New Roman"/>
          <w:color w:val="1F1F1F"/>
          <w:sz w:val="28"/>
          <w:szCs w:val="28"/>
        </w:rPr>
        <w:t xml:space="preserve">The revision process strictly adheres to international rules and prevailing practices. In accordance with </w:t>
      </w:r>
      <w:r>
        <w:rPr>
          <w:rFonts w:ascii="Times New Roman" w:cs="Times New Roman" w:hAnsi="Times New Roman"/>
          <w:b/>
          <w:bCs/>
          <w:color w:val="1F1F1F"/>
          <w:sz w:val="28"/>
          <w:szCs w:val="28"/>
          <w:bdr w:val="none" w:sz="0" w:space="0" w:color="auto"/>
        </w:rPr>
        <w:t>WTO/TBT/SPS</w:t>
      </w:r>
      <w:r>
        <w:rPr>
          <w:rFonts w:ascii="Times New Roman" w:cs="Times New Roman" w:hAnsi="Times New Roman"/>
          <w:color w:val="1F1F1F"/>
          <w:sz w:val="28"/>
          <w:szCs w:val="28"/>
        </w:rPr>
        <w:t xml:space="preserve"> agreements, </w:t>
      </w:r>
      <w:r>
        <w:rPr>
          <w:rFonts w:ascii="Times New Roman" w:cs="Times New Roman" w:hAnsi="Times New Roman" w:hint="eastAsia"/>
          <w:color w:val="1F1F1F"/>
          <w:sz w:val="28"/>
          <w:szCs w:val="28"/>
        </w:rPr>
        <w:t xml:space="preserve">GACC </w:t>
      </w:r>
      <w:r>
        <w:rPr>
          <w:rFonts w:ascii="Times New Roman" w:cs="Times New Roman" w:hAnsi="Times New Roman"/>
          <w:color w:val="1F1F1F"/>
          <w:sz w:val="28"/>
          <w:szCs w:val="28"/>
        </w:rPr>
        <w:t xml:space="preserve">notified the WTO of the amendments and actively incorporated reasonable feedback from stakeholders. Representatives were also dispatched to WTO/TBT committee meetings to present the new </w:t>
      </w:r>
      <w:r>
        <w:rPr>
          <w:rFonts w:ascii="Times New Roman" w:cs="Times New Roman" w:hAnsi="Times New Roman" w:hint="eastAsia"/>
          <w:color w:val="1F1F1F"/>
          <w:sz w:val="28"/>
          <w:szCs w:val="28"/>
        </w:rPr>
        <w:t>Registration Provisions.</w:t>
      </w:r>
      <w:r>
        <w:rPr>
          <w:rFonts w:ascii="Times New Roman" w:cs="Times New Roman" w:hAnsi="Times New Roman"/>
          <w:color w:val="1F1F1F"/>
          <w:sz w:val="28"/>
          <w:szCs w:val="28"/>
        </w:rPr>
        <w:t xml:space="preserve"> Furthermore, a transition period of over six months has been provided prior to implementation to comply with international standards</w:t>
      </w:r>
      <w:r>
        <w:rPr>
          <w:rFonts w:ascii="Times New Roman" w:cs="Times New Roman" w:hAnsi="Times New Roman" w:hint="eastAsia"/>
          <w:color w:val="1F1F1F"/>
          <w:sz w:val="28"/>
          <w:szCs w:val="28"/>
        </w:rPr>
        <w:t xml:space="preserve"> of </w:t>
      </w:r>
      <w:r>
        <w:rPr>
          <w:rFonts w:ascii="Times New Roman" w:cs="Times New Roman" w:hAnsi="Times New Roman"/>
          <w:b/>
          <w:bCs/>
          <w:color w:val="1F1F1F"/>
          <w:sz w:val="28"/>
          <w:szCs w:val="28"/>
          <w:bdr w:val="none" w:sz="0" w:space="0" w:color="auto"/>
        </w:rPr>
        <w:t>TBT/SPS</w:t>
      </w:r>
      <w:r>
        <w:rPr>
          <w:rFonts w:ascii="Times New Roman" w:cs="Times New Roman" w:hAnsi="Times New Roman"/>
          <w:color w:val="1F1F1F"/>
          <w:sz w:val="28"/>
          <w:szCs w:val="28"/>
        </w:rPr>
        <w:t>.</w:t>
      </w:r>
    </w:p>
    <w:p>
      <w:pPr>
        <w:pStyle w:val="173"/>
        <w:spacing w:after="0" w:afterAutospacing="0"/>
        <w:jc w:val="both"/>
        <w:rPr>
          <w:rFonts w:ascii="Times New Roman" w:cs="Times New Roman" w:hAnsi="Times New Roman"/>
          <w:color w:val="1F1F1F"/>
          <w:sz w:val="28"/>
          <w:szCs w:val="28"/>
        </w:rPr>
      </w:pPr>
      <w:r>
        <w:rPr>
          <w:rFonts w:ascii="Times New Roman" w:cs="Times New Roman" w:hAnsi="Times New Roman" w:hint="eastAsia"/>
          <w:b/>
          <w:bCs/>
          <w:color w:val="1F1F1F"/>
          <w:sz w:val="28"/>
          <w:szCs w:val="28"/>
          <w:bdr w:val="none" w:sz="0" w:space="0" w:color="auto"/>
        </w:rPr>
        <w:t>Secondly, e</w:t>
      </w:r>
      <w:r>
        <w:rPr>
          <w:rFonts w:ascii="Times New Roman" w:cs="Times New Roman" w:hAnsi="Times New Roman"/>
          <w:b/>
          <w:bCs/>
          <w:color w:val="1F1F1F"/>
          <w:sz w:val="28"/>
          <w:szCs w:val="28"/>
          <w:bdr w:val="none" w:sz="0" w:space="0" w:color="auto"/>
        </w:rPr>
        <w:t xml:space="preserve">mphasis on </w:t>
      </w:r>
      <w:r>
        <w:rPr>
          <w:rFonts w:ascii="Times New Roman" w:cs="Times New Roman" w:hAnsi="Times New Roman" w:hint="eastAsia"/>
          <w:b/>
          <w:bCs/>
          <w:color w:val="1F1F1F"/>
          <w:sz w:val="28"/>
          <w:szCs w:val="28"/>
          <w:bdr w:val="none" w:sz="0" w:space="0" w:color="auto"/>
        </w:rPr>
        <w:t>s</w:t>
      </w:r>
      <w:r>
        <w:rPr>
          <w:rFonts w:ascii="Times New Roman" w:cs="Times New Roman" w:hAnsi="Times New Roman"/>
          <w:b/>
          <w:bCs/>
          <w:color w:val="1F1F1F"/>
          <w:sz w:val="28"/>
          <w:szCs w:val="28"/>
          <w:bdr w:val="none" w:sz="0" w:space="0" w:color="auto"/>
        </w:rPr>
        <w:t xml:space="preserve">afety </w:t>
      </w:r>
      <w:r>
        <w:rPr>
          <w:rFonts w:ascii="Times New Roman" w:cs="Times New Roman" w:hAnsi="Times New Roman" w:hint="eastAsia"/>
          <w:b/>
          <w:bCs/>
          <w:color w:val="1F1F1F"/>
          <w:sz w:val="28"/>
          <w:szCs w:val="28"/>
          <w:bdr w:val="none" w:sz="0" w:space="0" w:color="auto"/>
        </w:rPr>
        <w:t>s</w:t>
      </w:r>
      <w:r>
        <w:rPr>
          <w:rFonts w:ascii="Times New Roman" w:cs="Times New Roman" w:hAnsi="Times New Roman"/>
          <w:b/>
          <w:bCs/>
          <w:color w:val="1F1F1F"/>
          <w:sz w:val="28"/>
          <w:szCs w:val="28"/>
          <w:bdr w:val="none" w:sz="0" w:space="0" w:color="auto"/>
        </w:rPr>
        <w:t>upervision</w:t>
      </w:r>
      <w:r>
        <w:rPr>
          <w:rFonts w:ascii="Times New Roman" w:cs="Times New Roman" w:hAnsi="Times New Roman" w:hint="eastAsia"/>
          <w:b/>
          <w:bCs/>
          <w:color w:val="1F1F1F"/>
          <w:sz w:val="28"/>
          <w:szCs w:val="28"/>
          <w:bdr w:val="none" w:sz="0" w:space="0" w:color="auto"/>
        </w:rPr>
        <w:t xml:space="preserve">. </w:t>
      </w:r>
      <w:r>
        <w:rPr>
          <w:rFonts w:ascii="Times New Roman" w:cs="Times New Roman" w:hAnsi="Times New Roman"/>
          <w:color w:val="1F1F1F"/>
          <w:sz w:val="28"/>
          <w:szCs w:val="28"/>
        </w:rPr>
        <w:t xml:space="preserve">The revised </w:t>
      </w:r>
      <w:r>
        <w:rPr>
          <w:rFonts w:ascii="Times New Roman" w:cs="Times New Roman" w:hAnsi="Times New Roman" w:hint="eastAsia"/>
          <w:color w:val="1F1F1F"/>
          <w:sz w:val="28"/>
          <w:szCs w:val="28"/>
        </w:rPr>
        <w:t xml:space="preserve">Registration </w:t>
      </w:r>
      <w:r>
        <w:rPr>
          <w:rFonts w:ascii="Times New Roman" w:cs="Times New Roman" w:hAnsi="Times New Roman"/>
          <w:color w:val="1F1F1F"/>
          <w:sz w:val="28"/>
          <w:szCs w:val="28"/>
        </w:rPr>
        <w:t>Provisions reinforce the "Four Strictest Requirements" by strengthening source management and end-to-end supervision. It integrates the "Prevention First</w:t>
      </w:r>
      <w:r>
        <w:rPr>
          <w:rFonts w:ascii="Times New Roman" w:cs="Times New Roman" w:hAnsi="Times New Roman" w:hint="eastAsia"/>
          <w:color w:val="1F1F1F"/>
          <w:sz w:val="28"/>
          <w:szCs w:val="28"/>
        </w:rPr>
        <w:t>, Risk Management</w:t>
      </w:r>
      <w:r>
        <w:rPr>
          <w:rFonts w:ascii="Times New Roman" w:cs="Times New Roman" w:hAnsi="Times New Roman"/>
          <w:color w:val="1F1F1F"/>
          <w:sz w:val="28"/>
          <w:szCs w:val="28"/>
        </w:rPr>
        <w:t xml:space="preserve">" philosophy of </w:t>
      </w:r>
      <w:r>
        <w:rPr>
          <w:rFonts w:ascii="Times New Roman" w:cs="Times New Roman" w:hAnsi="Times New Roman"/>
          <w:b/>
          <w:color w:val="1F1F1F"/>
          <w:sz w:val="28"/>
          <w:szCs w:val="28"/>
        </w:rPr>
        <w:t>the</w:t>
      </w:r>
      <w:r>
        <w:rPr>
          <w:b/>
          <w:sz w:val="28"/>
          <w:szCs w:val="28"/>
        </w:rPr>
        <w:t xml:space="preserve"> </w:t>
      </w:r>
      <w:r>
        <w:rPr>
          <w:rFonts w:ascii="Times New Roman" w:cs="Times New Roman" w:hAnsi="Times New Roman"/>
          <w:b/>
          <w:color w:val="1F1F1F"/>
          <w:sz w:val="28"/>
          <w:szCs w:val="28"/>
        </w:rPr>
        <w:t>Food Safety Law of the People's Republic of China</w:t>
      </w:r>
      <w:r>
        <w:rPr>
          <w:rFonts w:ascii="Times New Roman" w:cs="Times New Roman" w:hAnsi="Times New Roman"/>
          <w:color w:val="1F1F1F"/>
          <w:sz w:val="28"/>
          <w:szCs w:val="28"/>
        </w:rPr>
        <w:t xml:space="preserve"> into the entire registration lifecycle</w:t>
      </w:r>
      <w:r>
        <w:rPr>
          <w:rFonts w:ascii="Times New Roman" w:cs="Times New Roman" w:hAnsi="Times New Roman" w:hint="eastAsia"/>
          <w:color w:val="1F1F1F"/>
          <w:sz w:val="28"/>
          <w:szCs w:val="28"/>
        </w:rPr>
        <w:t xml:space="preserve"> to place greater emphasis on improving the level of management modernization.</w:t>
      </w:r>
      <w:r>
        <w:rPr>
          <w:rFonts w:ascii="Times New Roman" w:cs="Times New Roman" w:hAnsi="Times New Roman"/>
          <w:color w:val="1F1F1F"/>
          <w:sz w:val="28"/>
          <w:szCs w:val="28"/>
        </w:rPr>
        <w:t xml:space="preserve"> By clarifying the obligations of both foreign </w:t>
      </w:r>
      <w:r>
        <w:rPr>
          <w:rFonts w:ascii="Times New Roman" w:cs="Times New Roman" w:hAnsi="Times New Roman" w:hint="eastAsia"/>
          <w:color w:val="1F1F1F"/>
          <w:sz w:val="28"/>
          <w:szCs w:val="28"/>
        </w:rPr>
        <w:t>C</w:t>
      </w:r>
      <w:r>
        <w:rPr>
          <w:rFonts w:ascii="Times New Roman" w:cs="Times New Roman" w:hAnsi="Times New Roman"/>
          <w:color w:val="1F1F1F"/>
          <w:sz w:val="28"/>
          <w:szCs w:val="28"/>
        </w:rPr>
        <w:t xml:space="preserve">ompetent </w:t>
      </w:r>
      <w:r>
        <w:rPr>
          <w:rFonts w:ascii="Times New Roman" w:cs="Times New Roman" w:hAnsi="Times New Roman" w:hint="eastAsia"/>
          <w:color w:val="1F1F1F"/>
          <w:sz w:val="28"/>
          <w:szCs w:val="28"/>
        </w:rPr>
        <w:t>A</w:t>
      </w:r>
      <w:r>
        <w:rPr>
          <w:rFonts w:ascii="Times New Roman" w:cs="Times New Roman" w:hAnsi="Times New Roman"/>
          <w:color w:val="1F1F1F"/>
          <w:sz w:val="28"/>
          <w:szCs w:val="28"/>
        </w:rPr>
        <w:t xml:space="preserve">uthorities and </w:t>
      </w:r>
      <w:r>
        <w:rPr>
          <w:rFonts w:ascii="Times New Roman" w:cs="Times New Roman" w:hAnsi="Times New Roman" w:hint="eastAsia"/>
          <w:color w:val="1F1F1F"/>
          <w:sz w:val="28"/>
          <w:szCs w:val="28"/>
        </w:rPr>
        <w:t>manufacturers</w:t>
      </w:r>
      <w:r>
        <w:rPr>
          <w:rFonts w:ascii="Times New Roman" w:cs="Times New Roman" w:hAnsi="Times New Roman"/>
          <w:color w:val="1F1F1F"/>
          <w:sz w:val="28"/>
          <w:szCs w:val="28"/>
        </w:rPr>
        <w:t xml:space="preserve">, the </w:t>
      </w:r>
      <w:r>
        <w:rPr>
          <w:rFonts w:ascii="Times New Roman" w:cs="Times New Roman" w:hAnsi="Times New Roman" w:hint="eastAsia"/>
          <w:color w:val="1F1F1F"/>
          <w:sz w:val="28"/>
          <w:szCs w:val="28"/>
        </w:rPr>
        <w:t>Registration</w:t>
      </w:r>
      <w:r>
        <w:rPr>
          <w:rFonts w:ascii="Times New Roman" w:cs="Times New Roman" w:hAnsi="Times New Roman"/>
          <w:color w:val="1F1F1F"/>
          <w:sz w:val="28"/>
          <w:szCs w:val="28"/>
        </w:rPr>
        <w:t xml:space="preserve"> Provisions establish a robust, </w:t>
      </w:r>
      <w:r>
        <w:rPr>
          <w:rFonts w:ascii="Times New Roman" w:cs="Times New Roman" w:hAnsi="Times New Roman" w:hint="eastAsia"/>
          <w:color w:val="1F1F1F"/>
          <w:sz w:val="28"/>
          <w:szCs w:val="28"/>
        </w:rPr>
        <w:t xml:space="preserve">complete, </w:t>
      </w:r>
      <w:r>
        <w:rPr>
          <w:rFonts w:ascii="Times New Roman" w:cs="Times New Roman" w:hAnsi="Times New Roman"/>
          <w:color w:val="1F1F1F"/>
          <w:sz w:val="28"/>
          <w:szCs w:val="28"/>
        </w:rPr>
        <w:t>interconnected accountability system for the entire import supply chain.</w:t>
      </w:r>
    </w:p>
    <w:p>
      <w:pPr>
        <w:pStyle w:val="173"/>
        <w:spacing w:after="0" w:afterAutospacing="0"/>
        <w:jc w:val="both"/>
        <w:rPr>
          <w:rFonts w:ascii="Times New Roman" w:cs="Times New Roman" w:hAnsi="Times New Roman"/>
          <w:color w:val="1F1F1F"/>
          <w:sz w:val="28"/>
          <w:szCs w:val="28"/>
        </w:rPr>
      </w:pPr>
      <w:r>
        <w:rPr>
          <w:rFonts w:ascii="Times New Roman" w:cs="Times New Roman" w:hAnsi="Times New Roman" w:hint="eastAsia"/>
          <w:b/>
          <w:bCs/>
          <w:color w:val="1F1F1F"/>
          <w:sz w:val="28"/>
          <w:szCs w:val="28"/>
          <w:bdr w:val="none" w:sz="0" w:space="0" w:color="auto"/>
        </w:rPr>
        <w:t>Thirdly, e</w:t>
      </w:r>
      <w:r>
        <w:rPr>
          <w:rFonts w:ascii="Times New Roman" w:cs="Times New Roman" w:hAnsi="Times New Roman"/>
          <w:b/>
          <w:bCs/>
          <w:color w:val="1F1F1F"/>
          <w:sz w:val="28"/>
          <w:szCs w:val="28"/>
          <w:bdr w:val="none" w:sz="0" w:space="0" w:color="auto"/>
        </w:rPr>
        <w:t xml:space="preserve">nhanced </w:t>
      </w:r>
      <w:r>
        <w:rPr>
          <w:rFonts w:ascii="Times New Roman" w:cs="Times New Roman" w:hAnsi="Times New Roman" w:hint="eastAsia"/>
          <w:b/>
          <w:bCs/>
          <w:color w:val="1F1F1F"/>
          <w:sz w:val="28"/>
          <w:szCs w:val="28"/>
          <w:bdr w:val="none" w:sz="0" w:space="0" w:color="auto"/>
        </w:rPr>
        <w:t>f</w:t>
      </w:r>
      <w:r>
        <w:rPr>
          <w:rFonts w:ascii="Times New Roman" w:cs="Times New Roman" w:hAnsi="Times New Roman"/>
          <w:b/>
          <w:bCs/>
          <w:color w:val="1F1F1F"/>
          <w:sz w:val="28"/>
          <w:szCs w:val="28"/>
          <w:bdr w:val="none" w:sz="0" w:space="0" w:color="auto"/>
        </w:rPr>
        <w:t>acilitation through Innovation</w:t>
      </w:r>
      <w:r>
        <w:rPr>
          <w:rFonts w:ascii="Times New Roman" w:cs="Times New Roman" w:hAnsi="Times New Roman" w:hint="eastAsia"/>
          <w:b/>
          <w:bCs/>
          <w:color w:val="1F1F1F"/>
          <w:sz w:val="28"/>
          <w:szCs w:val="28"/>
          <w:bdr w:val="none" w:sz="0" w:space="0" w:color="auto"/>
        </w:rPr>
        <w:t xml:space="preserve">. </w:t>
      </w:r>
      <w:r>
        <w:rPr>
          <w:rFonts w:ascii="Times New Roman" w:cs="Times New Roman" w:hAnsi="Times New Roman"/>
          <w:color w:val="1F1F1F"/>
          <w:sz w:val="28"/>
          <w:szCs w:val="28"/>
        </w:rPr>
        <w:t xml:space="preserve">The new </w:t>
      </w:r>
      <w:r>
        <w:rPr>
          <w:rFonts w:ascii="Times New Roman" w:cs="Times New Roman" w:hAnsi="Times New Roman" w:hint="eastAsia"/>
          <w:color w:val="1F1F1F"/>
          <w:sz w:val="28"/>
          <w:szCs w:val="28"/>
        </w:rPr>
        <w:t xml:space="preserve">Registration </w:t>
      </w:r>
      <w:r>
        <w:rPr>
          <w:rFonts w:ascii="Times New Roman" w:cs="Times New Roman" w:hAnsi="Times New Roman"/>
          <w:color w:val="1F1F1F"/>
          <w:sz w:val="28"/>
          <w:szCs w:val="28"/>
        </w:rPr>
        <w:t>Provisions introduce four innovative functional pillars to streamline trade:</w:t>
      </w:r>
      <w:r>
        <w:rPr>
          <w:rFonts w:ascii="Times New Roman" w:cs="Times New Roman" w:hAnsi="Times New Roman" w:hint="eastAsia"/>
          <w:color w:val="1F1F1F"/>
          <w:sz w:val="28"/>
          <w:szCs w:val="28"/>
        </w:rPr>
        <w:t xml:space="preserve"> </w:t>
      </w:r>
      <w:r>
        <w:rPr>
          <w:rFonts w:ascii="Times New Roman" w:cs="Times New Roman" w:hAnsi="Times New Roman"/>
          <w:b/>
          <w:bCs/>
          <w:color w:val="1F1F1F"/>
          <w:sz w:val="28"/>
          <w:szCs w:val="28"/>
          <w:bdr w:val="none" w:sz="0" w:space="0" w:color="auto"/>
        </w:rPr>
        <w:t>Risk-Based Categorization:</w:t>
      </w:r>
      <w:r>
        <w:rPr>
          <w:rFonts w:ascii="Times New Roman" w:cs="Times New Roman" w:hAnsi="Times New Roman"/>
          <w:color w:val="1F1F1F"/>
          <w:sz w:val="28"/>
          <w:szCs w:val="28"/>
        </w:rPr>
        <w:t xml:space="preserve"> Implements a risk-graded catalog to ensure more precise audit procedures and management requirements.</w:t>
      </w:r>
      <w:r>
        <w:rPr>
          <w:rFonts w:ascii="Times New Roman" w:cs="Times New Roman" w:hAnsi="Times New Roman" w:hint="eastAsia"/>
          <w:color w:val="1F1F1F"/>
          <w:sz w:val="28"/>
          <w:szCs w:val="28"/>
        </w:rPr>
        <w:t xml:space="preserve"> </w:t>
      </w:r>
      <w:r>
        <w:rPr>
          <w:rFonts w:ascii="Times New Roman" w:cs="Times New Roman" w:hAnsi="Times New Roman"/>
          <w:b/>
          <w:bCs/>
          <w:color w:val="1F1F1F"/>
          <w:sz w:val="28"/>
          <w:szCs w:val="28"/>
          <w:bdr w:val="none" w:sz="0" w:space="0" w:color="auto"/>
        </w:rPr>
        <w:t>Automatic Renewals:</w:t>
      </w:r>
      <w:r>
        <w:rPr>
          <w:rFonts w:ascii="Times New Roman" w:cs="Times New Roman" w:hAnsi="Times New Roman"/>
          <w:color w:val="1F1F1F"/>
          <w:sz w:val="28"/>
          <w:szCs w:val="28"/>
        </w:rPr>
        <w:t xml:space="preserve"> Introduces an automatic extension mechanism for registrations nearing expiry to improve administrative efficiency.</w:t>
      </w:r>
      <w:r>
        <w:rPr>
          <w:rFonts w:ascii="Times New Roman" w:cs="Times New Roman" w:hAnsi="Times New Roman" w:hint="eastAsia"/>
          <w:color w:val="1F1F1F"/>
          <w:sz w:val="28"/>
          <w:szCs w:val="28"/>
        </w:rPr>
        <w:t xml:space="preserve"> </w:t>
      </w:r>
      <w:r>
        <w:rPr>
          <w:rFonts w:ascii="Times New Roman" w:cs="Times New Roman" w:hAnsi="Times New Roman"/>
          <w:b/>
          <w:bCs/>
          <w:color w:val="1F1F1F"/>
          <w:sz w:val="28"/>
          <w:szCs w:val="28"/>
          <w:bdr w:val="none" w:sz="0" w:space="0" w:color="auto"/>
        </w:rPr>
        <w:t>List-Based Registration:</w:t>
      </w:r>
      <w:r>
        <w:rPr>
          <w:rFonts w:ascii="Times New Roman" w:cs="Times New Roman" w:hAnsi="Times New Roman"/>
          <w:color w:val="1F1F1F"/>
          <w:sz w:val="28"/>
          <w:szCs w:val="28"/>
        </w:rPr>
        <w:t xml:space="preserve"> Leverages mutual recognition of regulatory systems to pilot convenient </w:t>
      </w:r>
      <w:r>
        <w:rPr>
          <w:rFonts w:ascii="Times New Roman" w:cs="Times New Roman" w:hAnsi="Times New Roman" w:hint="eastAsia"/>
          <w:color w:val="1F1F1F"/>
          <w:sz w:val="28"/>
          <w:szCs w:val="28"/>
        </w:rPr>
        <w:t>consolidated</w:t>
      </w:r>
      <w:r>
        <w:rPr>
          <w:rFonts w:ascii="Times New Roman" w:cs="Times New Roman" w:hAnsi="Times New Roman"/>
          <w:color w:val="1F1F1F"/>
          <w:sz w:val="28"/>
          <w:szCs w:val="28"/>
        </w:rPr>
        <w:t xml:space="preserve"> "</w:t>
      </w:r>
      <w:r>
        <w:rPr>
          <w:rFonts w:ascii="Times New Roman" w:cs="Times New Roman" w:hAnsi="Times New Roman" w:hint="eastAsia"/>
          <w:color w:val="1F1F1F"/>
          <w:sz w:val="28"/>
          <w:szCs w:val="28"/>
        </w:rPr>
        <w:t>list</w:t>
      </w:r>
      <w:r>
        <w:rPr>
          <w:rFonts w:ascii="Times New Roman" w:cs="Times New Roman" w:hAnsi="Times New Roman"/>
          <w:color w:val="1F1F1F"/>
          <w:sz w:val="28"/>
          <w:szCs w:val="28"/>
        </w:rPr>
        <w:t xml:space="preserve"> registrations."</w:t>
      </w:r>
      <w:r>
        <w:rPr>
          <w:rFonts w:ascii="Times New Roman" w:cs="Times New Roman" w:hAnsi="Times New Roman"/>
          <w:b/>
          <w:bCs/>
          <w:color w:val="1F1F1F"/>
          <w:sz w:val="28"/>
          <w:szCs w:val="28"/>
          <w:bdr w:val="none" w:sz="0" w:space="0" w:color="auto"/>
        </w:rPr>
        <w:t>Intelligent Approval:</w:t>
      </w:r>
      <w:r>
        <w:rPr>
          <w:rFonts w:ascii="Times New Roman" w:cs="Times New Roman" w:hAnsi="Times New Roman"/>
          <w:color w:val="1F1F1F"/>
          <w:sz w:val="28"/>
          <w:szCs w:val="28"/>
        </w:rPr>
        <w:t xml:space="preserve"> Utilizes "AI+" and cutting-edge technologies to enable automated reviews, significantly accelerating the registration process.</w:t>
      </w:r>
    </w:p>
    <w:p>
      <w:pPr>
        <w:pStyle w:val="173"/>
        <w:spacing w:after="0" w:afterAutospacing="0"/>
        <w:jc w:val="both"/>
        <w:rPr>
          <w:rFonts w:ascii="Times New Roman" w:cs="Times New Roman" w:hAnsi="Times New Roman"/>
          <w:color w:val="1F1F1F"/>
          <w:sz w:val="28"/>
          <w:szCs w:val="28"/>
        </w:rPr>
      </w:pPr>
      <w:r>
        <w:rPr>
          <w:rFonts w:ascii="Times New Roman" w:cs="Times New Roman" w:hAnsi="Times New Roman" w:hint="eastAsia"/>
          <w:b/>
          <w:color w:val="1F1F1F"/>
          <w:sz w:val="28"/>
          <w:szCs w:val="28"/>
        </w:rPr>
        <w:t>Fourthly,</w:t>
      </w:r>
      <w:r>
        <w:rPr>
          <w:rFonts w:ascii="Times New Roman" w:cs="Times New Roman" w:hAnsi="Times New Roman"/>
          <w:b/>
          <w:color w:val="1F1F1F"/>
          <w:sz w:val="28"/>
          <w:szCs w:val="28"/>
        </w:rPr>
        <w:t xml:space="preserve"> Joint Consultation and Co-governance</w:t>
      </w:r>
      <w:r>
        <w:rPr>
          <w:rFonts w:ascii="Times New Roman" w:cs="Times New Roman" w:hAnsi="Times New Roman" w:hint="eastAsia"/>
          <w:b/>
          <w:color w:val="1F1F1F"/>
          <w:sz w:val="28"/>
          <w:szCs w:val="28"/>
        </w:rPr>
        <w:t>.</w:t>
      </w:r>
      <w:r>
        <w:rPr>
          <w:sz w:val="28"/>
          <w:szCs w:val="28"/>
        </w:rPr>
        <w:t xml:space="preserve"> </w:t>
      </w:r>
      <w:r>
        <w:rPr>
          <w:rFonts w:ascii="Times New Roman" w:cs="Times New Roman" w:hAnsi="Times New Roman"/>
          <w:color w:val="1F1F1F"/>
          <w:sz w:val="28"/>
          <w:szCs w:val="28"/>
        </w:rPr>
        <w:t>During the transition period for the release of the Registration</w:t>
      </w:r>
      <w:r>
        <w:rPr>
          <w:rFonts w:ascii="Times New Roman" w:cs="Times New Roman" w:hAnsi="Times New Roman" w:hint="eastAsia"/>
          <w:color w:val="1F1F1F"/>
          <w:sz w:val="28"/>
          <w:szCs w:val="28"/>
        </w:rPr>
        <w:t xml:space="preserve"> Provisions</w:t>
      </w:r>
      <w:r>
        <w:rPr>
          <w:rFonts w:ascii="Times New Roman" w:cs="Times New Roman" w:hAnsi="Times New Roman"/>
          <w:color w:val="1F1F1F"/>
          <w:sz w:val="28"/>
          <w:szCs w:val="28"/>
        </w:rPr>
        <w:t xml:space="preserve">, </w:t>
      </w:r>
      <w:r>
        <w:rPr>
          <w:rFonts w:ascii="Times New Roman" w:cs="Times New Roman" w:hAnsi="Times New Roman" w:hint="eastAsia"/>
          <w:color w:val="1F1F1F"/>
          <w:sz w:val="28"/>
          <w:szCs w:val="28"/>
        </w:rPr>
        <w:t>GACC</w:t>
      </w:r>
      <w:r>
        <w:rPr>
          <w:rFonts w:ascii="Times New Roman" w:cs="Times New Roman" w:hAnsi="Times New Roman"/>
          <w:color w:val="1F1F1F"/>
          <w:sz w:val="28"/>
          <w:szCs w:val="28"/>
        </w:rPr>
        <w:t xml:space="preserve"> maintained close communication with the relevant </w:t>
      </w:r>
      <w:r>
        <w:rPr>
          <w:rFonts w:ascii="Times New Roman" w:cs="Times New Roman" w:hAnsi="Times New Roman" w:hint="eastAsia"/>
          <w:color w:val="1F1F1F"/>
          <w:sz w:val="28"/>
          <w:szCs w:val="28"/>
        </w:rPr>
        <w:t xml:space="preserve">Competent Authorities </w:t>
      </w:r>
      <w:r>
        <w:rPr>
          <w:rFonts w:ascii="Times New Roman" w:cs="Times New Roman" w:hAnsi="Times New Roman"/>
          <w:color w:val="1F1F1F"/>
          <w:sz w:val="28"/>
          <w:szCs w:val="28"/>
        </w:rPr>
        <w:t>of its major trading partners</w:t>
      </w:r>
      <w:r>
        <w:rPr>
          <w:rFonts w:ascii="Times New Roman" w:cs="Times New Roman" w:hAnsi="Times New Roman" w:hint="eastAsia"/>
          <w:color w:val="1F1F1F"/>
          <w:sz w:val="28"/>
          <w:szCs w:val="28"/>
        </w:rPr>
        <w:t>.</w:t>
      </w:r>
      <w:r>
        <w:rPr>
          <w:sz w:val="28"/>
          <w:szCs w:val="28"/>
        </w:rPr>
        <w:t xml:space="preserve"> </w:t>
      </w:r>
      <w:r>
        <w:rPr>
          <w:rFonts w:ascii="Times New Roman" w:cs="Times New Roman" w:hAnsi="Times New Roman"/>
          <w:color w:val="1F1F1F"/>
          <w:sz w:val="28"/>
          <w:szCs w:val="28"/>
        </w:rPr>
        <w:t xml:space="preserve">Through multilateral and bilateral channels such as the "Belt and Road" </w:t>
      </w:r>
      <w:r>
        <w:rPr>
          <w:rFonts w:ascii="Times New Roman" w:cs="Times New Roman" w:hAnsi="Times New Roman" w:hint="eastAsia"/>
          <w:color w:val="1F1F1F"/>
          <w:sz w:val="28"/>
          <w:szCs w:val="28"/>
        </w:rPr>
        <w:t>Customs</w:t>
      </w:r>
      <w:r>
        <w:rPr>
          <w:rFonts w:ascii="Times New Roman" w:cs="Times New Roman" w:hAnsi="Times New Roman"/>
          <w:color w:val="1F1F1F"/>
          <w:sz w:val="28"/>
          <w:szCs w:val="28"/>
        </w:rPr>
        <w:t xml:space="preserve"> Cooperation Conference, the </w:t>
      </w:r>
      <w:r>
        <w:rPr>
          <w:rFonts w:ascii="Times New Roman" w:cs="Times New Roman" w:hAnsi="Times New Roman" w:hint="eastAsia"/>
          <w:color w:val="1F1F1F"/>
          <w:sz w:val="28"/>
          <w:szCs w:val="28"/>
        </w:rPr>
        <w:t xml:space="preserve">Customs </w:t>
      </w:r>
      <w:r>
        <w:rPr>
          <w:rFonts w:ascii="Times New Roman" w:cs="Times New Roman" w:hAnsi="Times New Roman"/>
          <w:color w:val="1F1F1F"/>
          <w:sz w:val="28"/>
          <w:szCs w:val="28"/>
        </w:rPr>
        <w:t xml:space="preserve">Inspection </w:t>
      </w:r>
      <w:r>
        <w:rPr>
          <w:rFonts w:ascii="Times New Roman" w:cs="Times New Roman" w:hAnsi="Times New Roman" w:hint="eastAsia"/>
          <w:color w:val="1F1F1F"/>
          <w:sz w:val="28"/>
          <w:szCs w:val="28"/>
        </w:rPr>
        <w:t xml:space="preserve">&amp; </w:t>
      </w:r>
      <w:r>
        <w:rPr>
          <w:rFonts w:ascii="Times New Roman" w:cs="Times New Roman" w:hAnsi="Times New Roman"/>
          <w:color w:val="1F1F1F"/>
          <w:sz w:val="28"/>
          <w:szCs w:val="28"/>
        </w:rPr>
        <w:t xml:space="preserve">Quarantine Dialogue </w:t>
      </w:r>
      <w:r>
        <w:rPr>
          <w:rFonts w:ascii="Times New Roman" w:cs="Times New Roman" w:hAnsi="Times New Roman" w:hint="eastAsia"/>
          <w:color w:val="1F1F1F"/>
          <w:sz w:val="28"/>
          <w:szCs w:val="28"/>
        </w:rPr>
        <w:t xml:space="preserve">of </w:t>
      </w:r>
      <w:r>
        <w:rPr>
          <w:rFonts w:ascii="Times New Roman" w:cs="Times New Roman" w:hAnsi="Times New Roman"/>
          <w:color w:val="1F1F1F"/>
          <w:sz w:val="28"/>
          <w:szCs w:val="28"/>
        </w:rPr>
        <w:t>China-Nordic Countries, the China-Asean SPS Ministerial Talks, and the China-E</w:t>
      </w:r>
      <w:r>
        <w:rPr>
          <w:rFonts w:ascii="Times New Roman" w:cs="Times New Roman" w:hAnsi="Times New Roman" w:hint="eastAsia"/>
          <w:color w:val="1F1F1F"/>
          <w:sz w:val="28"/>
          <w:szCs w:val="28"/>
        </w:rPr>
        <w:t>U</w:t>
      </w:r>
      <w:r>
        <w:rPr>
          <w:rFonts w:ascii="Times New Roman" w:cs="Times New Roman" w:hAnsi="Times New Roman"/>
          <w:color w:val="1F1F1F"/>
          <w:sz w:val="28"/>
          <w:szCs w:val="28"/>
        </w:rPr>
        <w:t xml:space="preserve"> Registration Special Training, </w:t>
      </w:r>
      <w:r>
        <w:rPr>
          <w:rFonts w:ascii="Times New Roman" w:cs="Times New Roman" w:hAnsi="Times New Roman" w:hint="eastAsia"/>
          <w:color w:val="1F1F1F"/>
          <w:sz w:val="28"/>
          <w:szCs w:val="28"/>
        </w:rPr>
        <w:t xml:space="preserve">GACC </w:t>
      </w:r>
      <w:r>
        <w:rPr>
          <w:rFonts w:ascii="Times New Roman" w:cs="Times New Roman" w:hAnsi="Times New Roman"/>
          <w:color w:val="1F1F1F"/>
          <w:sz w:val="28"/>
          <w:szCs w:val="28"/>
        </w:rPr>
        <w:t xml:space="preserve">conducted face-to-face special publicity and introduction for over </w:t>
      </w:r>
      <w:r>
        <w:rPr>
          <w:rFonts w:ascii="Times New Roman" w:cs="Times New Roman" w:hAnsi="Times New Roman" w:hint="eastAsia"/>
          <w:color w:val="1F1F1F"/>
          <w:sz w:val="28"/>
          <w:szCs w:val="28"/>
        </w:rPr>
        <w:t>900</w:t>
      </w:r>
      <w:r>
        <w:rPr>
          <w:rFonts w:ascii="Times New Roman" w:cs="Times New Roman" w:hAnsi="Times New Roman"/>
          <w:color w:val="1F1F1F"/>
          <w:sz w:val="28"/>
          <w:szCs w:val="28"/>
        </w:rPr>
        <w:t xml:space="preserve"> representatives </w:t>
      </w:r>
      <w:r>
        <w:rPr>
          <w:rFonts w:ascii="Times New Roman" w:cs="Times New Roman" w:hAnsi="Times New Roman" w:hint="eastAsia"/>
          <w:color w:val="1F1F1F"/>
          <w:sz w:val="28"/>
          <w:szCs w:val="28"/>
        </w:rPr>
        <w:t xml:space="preserve">of </w:t>
      </w:r>
      <w:r>
        <w:rPr>
          <w:rFonts w:ascii="Times New Roman" w:cs="Times New Roman" w:hAnsi="Times New Roman"/>
          <w:color w:val="1F1F1F"/>
          <w:sz w:val="28"/>
          <w:szCs w:val="28"/>
        </w:rPr>
        <w:t xml:space="preserve">food safety authorities and </w:t>
      </w:r>
      <w:r>
        <w:rPr>
          <w:rFonts w:ascii="Times New Roman" w:cs="Times New Roman" w:hAnsi="Times New Roman" w:hint="eastAsia"/>
          <w:color w:val="1F1F1F"/>
          <w:sz w:val="28"/>
          <w:szCs w:val="28"/>
        </w:rPr>
        <w:t>manufacturers</w:t>
      </w:r>
      <w:r>
        <w:rPr>
          <w:rFonts w:ascii="Times New Roman" w:cs="Times New Roman" w:hAnsi="Times New Roman"/>
          <w:color w:val="1F1F1F"/>
          <w:sz w:val="28"/>
          <w:szCs w:val="28"/>
        </w:rPr>
        <w:t xml:space="preserve"> from </w:t>
      </w:r>
      <w:r>
        <w:rPr>
          <w:rFonts w:ascii="Times New Roman" w:cs="Times New Roman" w:hAnsi="Times New Roman" w:hint="eastAsia"/>
          <w:color w:val="1F1F1F"/>
          <w:sz w:val="28"/>
          <w:szCs w:val="28"/>
        </w:rPr>
        <w:t>57</w:t>
      </w:r>
      <w:r>
        <w:rPr>
          <w:rFonts w:ascii="Times New Roman" w:cs="Times New Roman" w:hAnsi="Times New Roman"/>
          <w:color w:val="1F1F1F"/>
          <w:sz w:val="28"/>
          <w:szCs w:val="28"/>
        </w:rPr>
        <w:t xml:space="preserve"> countries and regions. </w:t>
      </w:r>
      <w:r>
        <w:rPr>
          <w:rFonts w:ascii="Times New Roman" w:cs="Times New Roman" w:hAnsi="Times New Roman" w:hint="eastAsia"/>
          <w:color w:val="1F1F1F"/>
          <w:sz w:val="28"/>
          <w:szCs w:val="28"/>
        </w:rPr>
        <w:t>GACC also s</w:t>
      </w:r>
      <w:r>
        <w:rPr>
          <w:rFonts w:ascii="Times New Roman" w:cs="Times New Roman" w:hAnsi="Times New Roman"/>
          <w:color w:val="1F1F1F"/>
          <w:sz w:val="28"/>
          <w:szCs w:val="28"/>
        </w:rPr>
        <w:t xml:space="preserve">et up a dedicated team to collect and respond to opinions and inquiries from all parties through TBT and SPS consultation points. </w:t>
      </w:r>
      <w:r>
        <w:rPr>
          <w:rFonts w:ascii="Times New Roman" w:cs="Times New Roman" w:hAnsi="Times New Roman" w:hint="eastAsia"/>
          <w:color w:val="1F1F1F"/>
          <w:sz w:val="28"/>
          <w:szCs w:val="28"/>
        </w:rPr>
        <w:t>GACC</w:t>
      </w:r>
      <w:r>
        <w:rPr>
          <w:rFonts w:ascii="Times New Roman" w:cs="Times New Roman" w:hAnsi="Times New Roman"/>
          <w:color w:val="1F1F1F"/>
          <w:sz w:val="28"/>
          <w:szCs w:val="28"/>
        </w:rPr>
        <w:t xml:space="preserve"> has also successively released supporting </w:t>
      </w:r>
      <w:r>
        <w:rPr>
          <w:rFonts w:ascii="Times New Roman" w:cs="Times New Roman" w:hAnsi="Times New Roman" w:hint="eastAsia"/>
          <w:color w:val="1F1F1F"/>
          <w:sz w:val="28"/>
          <w:szCs w:val="28"/>
        </w:rPr>
        <w:t xml:space="preserve">documents </w:t>
      </w:r>
      <w:r>
        <w:rPr>
          <w:rFonts w:ascii="Times New Roman" w:cs="Times New Roman" w:hAnsi="Times New Roman"/>
          <w:color w:val="1F1F1F"/>
          <w:sz w:val="28"/>
          <w:szCs w:val="28"/>
        </w:rPr>
        <w:t xml:space="preserve">enabling all stakeholders to </w:t>
      </w:r>
      <w:r>
        <w:rPr>
          <w:rFonts w:ascii="Times New Roman" w:cs="Times New Roman" w:hAnsi="Times New Roman" w:hint="eastAsia"/>
          <w:color w:val="1F1F1F"/>
          <w:sz w:val="28"/>
          <w:szCs w:val="28"/>
        </w:rPr>
        <w:t xml:space="preserve">be access to </w:t>
      </w:r>
      <w:r>
        <w:rPr>
          <w:rFonts w:ascii="Times New Roman" w:cs="Times New Roman" w:hAnsi="Times New Roman"/>
          <w:color w:val="1F1F1F"/>
          <w:sz w:val="28"/>
          <w:szCs w:val="28"/>
        </w:rPr>
        <w:t xml:space="preserve">the new </w:t>
      </w:r>
      <w:r>
        <w:rPr>
          <w:rFonts w:ascii="Times New Roman" w:cs="Times New Roman" w:hAnsi="Times New Roman" w:hint="eastAsia"/>
          <w:color w:val="1F1F1F"/>
          <w:sz w:val="28"/>
          <w:szCs w:val="28"/>
        </w:rPr>
        <w:t xml:space="preserve">Registration </w:t>
      </w:r>
      <w:r>
        <w:rPr>
          <w:rFonts w:ascii="Times New Roman" w:cs="Times New Roman" w:hAnsi="Times New Roman"/>
          <w:color w:val="1F1F1F"/>
          <w:sz w:val="28"/>
          <w:szCs w:val="28"/>
        </w:rPr>
        <w:t>regulations</w:t>
      </w:r>
      <w:r>
        <w:rPr>
          <w:rFonts w:ascii="Times New Roman" w:cs="Times New Roman" w:hAnsi="Times New Roman" w:hint="eastAsia"/>
          <w:color w:val="1F1F1F"/>
          <w:sz w:val="28"/>
          <w:szCs w:val="28"/>
        </w:rPr>
        <w:t xml:space="preserve"> </w:t>
      </w:r>
      <w:r>
        <w:rPr>
          <w:rFonts w:ascii="Times New Roman" w:cs="Times New Roman" w:hAnsi="Times New Roman"/>
          <w:color w:val="1F1F1F"/>
          <w:sz w:val="28"/>
          <w:szCs w:val="28"/>
        </w:rPr>
        <w:t xml:space="preserve">smoothly </w:t>
      </w:r>
      <w:r>
        <w:rPr>
          <w:rFonts w:ascii="Times New Roman" w:cs="Times New Roman" w:hAnsi="Times New Roman" w:hint="eastAsia"/>
          <w:color w:val="1F1F1F"/>
          <w:sz w:val="28"/>
          <w:szCs w:val="28"/>
        </w:rPr>
        <w:t xml:space="preserve">for the purpose of </w:t>
      </w:r>
      <w:r>
        <w:rPr>
          <w:rFonts w:ascii="Times New Roman" w:cs="Times New Roman" w:hAnsi="Times New Roman"/>
          <w:color w:val="1F1F1F"/>
          <w:sz w:val="28"/>
          <w:szCs w:val="28"/>
        </w:rPr>
        <w:t>jointly promote the healthy development of food trade exported to China.</w:t>
      </w:r>
    </w:p>
    <w:p>
      <w:pPr>
        <w:pStyle w:val="173"/>
        <w:spacing w:after="0" w:afterAutospacing="0"/>
        <w:jc w:val="both"/>
        <w:rPr>
          <w:rFonts w:ascii="Times New Roman" w:cs="Times New Roman" w:hAnsi="Times New Roman"/>
          <w:color w:val="1F1F1F"/>
          <w:sz w:val="28"/>
          <w:szCs w:val="28"/>
        </w:rPr>
      </w:pPr>
      <w:r>
        <w:rPr>
          <w:sz w:val="28"/>
          <w:szCs w:val="28"/>
        </w:rPr>
        <w:t xml:space="preserve"> </w:t>
      </w:r>
      <w:r>
        <w:rPr>
          <w:rFonts w:ascii="Times New Roman" w:cs="Times New Roman" w:hAnsi="Times New Roman"/>
          <w:color w:val="1F1F1F"/>
          <w:sz w:val="28"/>
          <w:szCs w:val="28"/>
        </w:rPr>
        <w:t xml:space="preserve">It should be noted that, in order to refine and clarify the requirements for </w:t>
      </w:r>
      <w:r>
        <w:rPr>
          <w:rFonts w:ascii="Times New Roman" w:cs="Times New Roman" w:hAnsi="Times New Roman" w:hint="eastAsia"/>
          <w:color w:val="1F1F1F"/>
          <w:sz w:val="28"/>
          <w:szCs w:val="28"/>
        </w:rPr>
        <w:t>the Registration Provisions</w:t>
      </w:r>
      <w:r>
        <w:rPr>
          <w:rFonts w:ascii="Times New Roman" w:cs="Times New Roman" w:hAnsi="Times New Roman"/>
          <w:color w:val="1F1F1F"/>
          <w:sz w:val="28"/>
          <w:szCs w:val="28"/>
        </w:rPr>
        <w:t>, respond to the concerns of all stakeholders, and ensure that the entire process of formulating and implementing remains open, transparent, and predictable，GACC</w:t>
      </w:r>
      <w:r>
        <w:rPr>
          <w:rFonts w:ascii="Times New Roman" w:cs="Times New Roman" w:hAnsi="Times New Roman" w:hint="eastAsia"/>
          <w:color w:val="1F1F1F"/>
          <w:sz w:val="28"/>
          <w:szCs w:val="28"/>
        </w:rPr>
        <w:t xml:space="preserve"> published the Registration Provisions </w:t>
      </w:r>
      <w:r>
        <w:rPr>
          <w:rFonts w:ascii="Times New Roman" w:cs="Times New Roman" w:hAnsi="Times New Roman"/>
          <w:color w:val="1F1F1F"/>
          <w:sz w:val="28"/>
          <w:szCs w:val="28"/>
        </w:rPr>
        <w:t>and</w:t>
      </w:r>
      <w:r>
        <w:rPr>
          <w:rFonts w:ascii="Times New Roman" w:cs="Times New Roman" w:hAnsi="Times New Roman" w:hint="eastAsia"/>
          <w:color w:val="1F1F1F"/>
          <w:sz w:val="28"/>
          <w:szCs w:val="28"/>
        </w:rPr>
        <w:t xml:space="preserve"> </w:t>
      </w:r>
      <w:r>
        <w:rPr>
          <w:rFonts w:ascii="Times New Roman" w:cs="Times New Roman" w:hAnsi="Times New Roman"/>
          <w:color w:val="1F1F1F"/>
          <w:sz w:val="28"/>
          <w:szCs w:val="28"/>
        </w:rPr>
        <w:t>its accompanying implementation announcement</w:t>
      </w:r>
      <w:r>
        <w:rPr>
          <w:rFonts w:ascii="Times New Roman" w:cs="Times New Roman" w:hAnsi="Times New Roman" w:hint="eastAsia"/>
          <w:color w:val="1F1F1F"/>
          <w:sz w:val="28"/>
          <w:szCs w:val="28"/>
        </w:rPr>
        <w:t xml:space="preserve"> on March </w:t>
      </w:r>
      <w:r>
        <w:rPr>
          <w:rFonts w:ascii="Times New Roman" w:cs="Times New Roman" w:hAnsi="Times New Roman"/>
          <w:color w:val="1F1F1F"/>
          <w:sz w:val="28"/>
          <w:szCs w:val="28"/>
        </w:rPr>
        <w:t>18</w:t>
      </w:r>
      <w:r>
        <w:rPr>
          <w:rFonts w:ascii="Times New Roman" w:cs="Times New Roman" w:hAnsi="Times New Roman"/>
          <w:color w:val="1F1F1F"/>
          <w:sz w:val="28"/>
          <w:szCs w:val="28"/>
          <w:vertAlign w:val="superscript"/>
        </w:rPr>
        <w:t>th</w:t>
      </w:r>
      <w:r>
        <w:rPr>
          <w:rFonts w:ascii="Times New Roman" w:cs="Times New Roman" w:hAnsi="Times New Roman" w:hint="eastAsia"/>
          <w:color w:val="1F1F1F"/>
          <w:sz w:val="28"/>
          <w:szCs w:val="28"/>
        </w:rPr>
        <w:t xml:space="preserve">, including </w:t>
      </w:r>
      <w:r>
        <w:rPr>
          <w:rFonts w:ascii="Times New Roman" w:cs="Times New Roman" w:hAnsi="Times New Roman"/>
          <w:color w:val="1F1F1F"/>
          <w:sz w:val="28"/>
          <w:szCs w:val="28"/>
        </w:rPr>
        <w:t>the food catalogue shall be registered with GACC and recommended by the Competent Authority, the list of foods not subject to automatic registration renewal, and the scope of overseas storage facilities for imported food that require registration</w:t>
      </w:r>
      <w:r>
        <w:rPr>
          <w:rFonts w:ascii="Times New Roman" w:cs="Times New Roman" w:hAnsi="Times New Roman" w:hint="eastAsia"/>
          <w:color w:val="1F1F1F"/>
          <w:sz w:val="28"/>
          <w:szCs w:val="28"/>
        </w:rPr>
        <w:t xml:space="preserve"> </w:t>
      </w:r>
      <w:r>
        <w:rPr>
          <w:rFonts w:ascii="Times New Roman" w:cs="Times New Roman" w:hAnsi="Times New Roman"/>
          <w:color w:val="1F1F1F"/>
          <w:sz w:val="28"/>
          <w:szCs w:val="28"/>
        </w:rPr>
        <w:t xml:space="preserve">as per </w:t>
      </w:r>
      <w:r>
        <w:rPr>
          <w:rFonts w:ascii="Times New Roman" w:cs="Times New Roman" w:hAnsi="Times New Roman" w:hint="eastAsia"/>
          <w:color w:val="1F1F1F"/>
          <w:sz w:val="28"/>
          <w:szCs w:val="28"/>
        </w:rPr>
        <w:t xml:space="preserve">Article 6, Article 21 and 30 of </w:t>
      </w:r>
      <w:r>
        <w:rPr>
          <w:rFonts w:ascii="Times New Roman" w:cs="Times New Roman" w:hAnsi="Times New Roman"/>
          <w:color w:val="1F1F1F"/>
          <w:sz w:val="28"/>
          <w:szCs w:val="28"/>
        </w:rPr>
        <w:t>the Registration Provisions</w:t>
      </w:r>
      <w:r>
        <w:rPr>
          <w:rFonts w:ascii="Times New Roman" w:cs="Times New Roman" w:hAnsi="Times New Roman" w:hint="eastAsia"/>
          <w:color w:val="1F1F1F"/>
          <w:sz w:val="28"/>
          <w:szCs w:val="28"/>
        </w:rPr>
        <w:t>, respectively.</w:t>
      </w:r>
      <w:r>
        <w:rPr>
          <w:sz w:val="28"/>
          <w:szCs w:val="28"/>
        </w:rPr>
        <w:t xml:space="preserve"> </w:t>
      </w:r>
      <w:r>
        <w:rPr>
          <w:rFonts w:ascii="Times New Roman" w:cs="Times New Roman" w:hAnsi="Times New Roman" w:hint="eastAsia"/>
          <w:color w:val="1F1F1F"/>
          <w:sz w:val="28"/>
          <w:szCs w:val="28"/>
        </w:rPr>
        <w:t>GACC f</w:t>
      </w:r>
      <w:r>
        <w:rPr>
          <w:rFonts w:ascii="Times New Roman" w:cs="Times New Roman" w:hAnsi="Times New Roman"/>
          <w:color w:val="1F1F1F"/>
          <w:sz w:val="28"/>
          <w:szCs w:val="28"/>
        </w:rPr>
        <w:t>urther refine</w:t>
      </w:r>
      <w:r>
        <w:rPr>
          <w:rFonts w:ascii="Times New Roman" w:cs="Times New Roman" w:hAnsi="Times New Roman" w:hint="eastAsia"/>
          <w:color w:val="1F1F1F"/>
          <w:sz w:val="28"/>
          <w:szCs w:val="28"/>
        </w:rPr>
        <w:t>s</w:t>
      </w:r>
      <w:r>
        <w:rPr>
          <w:rFonts w:ascii="Times New Roman" w:cs="Times New Roman" w:hAnsi="Times New Roman"/>
          <w:color w:val="1F1F1F"/>
          <w:sz w:val="28"/>
          <w:szCs w:val="28"/>
        </w:rPr>
        <w:t xml:space="preserve"> the declaration requirements for registration </w:t>
      </w:r>
      <w:r>
        <w:rPr>
          <w:rFonts w:ascii="Times New Roman" w:cs="Times New Roman" w:hAnsi="Times New Roman" w:hint="eastAsia"/>
          <w:color w:val="1F1F1F"/>
          <w:sz w:val="28"/>
          <w:szCs w:val="28"/>
        </w:rPr>
        <w:t>of</w:t>
      </w:r>
      <w:r>
        <w:rPr>
          <w:rFonts w:ascii="Times New Roman" w:cs="Times New Roman" w:hAnsi="Times New Roman"/>
          <w:color w:val="1F1F1F"/>
          <w:sz w:val="28"/>
          <w:szCs w:val="28"/>
        </w:rPr>
        <w:t xml:space="preserve"> imported food, and update the commonly used registration websites </w:t>
      </w:r>
      <w:r>
        <w:rPr>
          <w:rFonts w:ascii="Times New Roman" w:cs="Times New Roman" w:hAnsi="Times New Roman" w:hint="eastAsia"/>
          <w:color w:val="1F1F1F"/>
          <w:sz w:val="28"/>
          <w:szCs w:val="28"/>
        </w:rPr>
        <w:t xml:space="preserve">for application and </w:t>
      </w:r>
      <w:r>
        <w:rPr>
          <w:rFonts w:ascii="Times New Roman" w:cs="Times New Roman" w:hAnsi="Times New Roman"/>
          <w:color w:val="1F1F1F"/>
          <w:sz w:val="28"/>
          <w:szCs w:val="28"/>
        </w:rPr>
        <w:t>information query to help the relevant registration parties better understand the registration requirements and handle registration applications.</w:t>
      </w:r>
    </w:p>
    <w:p>
      <w:pPr>
        <w:pStyle w:val="173"/>
        <w:spacing w:after="0" w:afterAutospacing="0"/>
        <w:jc w:val="both"/>
        <w:rPr>
          <w:rFonts w:ascii="Times New Roman" w:cs="Times New Roman" w:hAnsi="Times New Roman"/>
          <w:color w:val="1F1F1F"/>
          <w:sz w:val="28"/>
          <w:szCs w:val="28"/>
        </w:rPr>
      </w:pPr>
      <w:r>
        <w:rPr>
          <w:rFonts w:ascii="Times New Roman" w:cs="Times New Roman" w:hAnsi="Times New Roman"/>
          <w:color w:val="1F1F1F"/>
          <w:sz w:val="28"/>
          <w:szCs w:val="28"/>
        </w:rPr>
        <w:t xml:space="preserve">We believe that the smooth implementation of </w:t>
      </w:r>
      <w:r>
        <w:rPr>
          <w:rFonts w:ascii="Times New Roman" w:cs="Times New Roman" w:hAnsi="Times New Roman" w:hint="eastAsia"/>
          <w:color w:val="1F1F1F"/>
          <w:sz w:val="28"/>
          <w:szCs w:val="28"/>
        </w:rPr>
        <w:t>the new Registration Provisions</w:t>
      </w:r>
      <w:r>
        <w:rPr>
          <w:rFonts w:ascii="Times New Roman" w:cs="Times New Roman" w:hAnsi="Times New Roman"/>
          <w:color w:val="1F1F1F"/>
          <w:sz w:val="28"/>
          <w:szCs w:val="28"/>
        </w:rPr>
        <w:t xml:space="preserve"> will continue to safeguard the smooth flow of </w:t>
      </w:r>
      <w:r>
        <w:rPr>
          <w:rFonts w:ascii="Times New Roman" w:cs="Times New Roman" w:hAnsi="Times New Roman" w:hint="eastAsia"/>
          <w:color w:val="1F1F1F"/>
          <w:sz w:val="28"/>
          <w:szCs w:val="28"/>
        </w:rPr>
        <w:t>import food</w:t>
      </w:r>
      <w:r>
        <w:rPr>
          <w:rFonts w:ascii="Times New Roman" w:cs="Times New Roman" w:hAnsi="Times New Roman"/>
          <w:color w:val="1F1F1F"/>
          <w:sz w:val="28"/>
          <w:szCs w:val="28"/>
        </w:rPr>
        <w:t xml:space="preserve"> trade, inject new momentum, add fresh vitality, and provide a new model for global </w:t>
      </w:r>
      <w:r>
        <w:rPr>
          <w:rFonts w:ascii="Times New Roman" w:cs="Times New Roman" w:hAnsi="Times New Roman" w:hint="eastAsia"/>
          <w:color w:val="1F1F1F"/>
          <w:sz w:val="28"/>
          <w:szCs w:val="28"/>
        </w:rPr>
        <w:t xml:space="preserve">food </w:t>
      </w:r>
      <w:r>
        <w:rPr>
          <w:rFonts w:ascii="Times New Roman" w:cs="Times New Roman" w:hAnsi="Times New Roman"/>
          <w:color w:val="1F1F1F"/>
          <w:sz w:val="28"/>
          <w:szCs w:val="28"/>
        </w:rPr>
        <w:t xml:space="preserve">safety governance. </w:t>
      </w:r>
    </w:p>
    <w:sectPr>
      <w:footerReference w:type="default" r:id="rId2"/>
      <w:footerReference w:type="even" r:id="rId3"/>
      <w:footerReference w:type="first" r:id="rId4"/>
      <w:pgSz w:w="11907" w:h="16839"/>
      <w:pgMar w:top="1440" w:right="1800" w:bottom="1440" w:left="1800" w:header="851" w:footer="992" w:gutter="0"/>
      <w:pgNumType w:fmt="numberInDash" w:start="1"/>
      <w:docGrid w:type="lines" w:linePitch="435"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Arial Unicode MS"/>
    <w:panose1 w:val="03000509000000000000"/>
    <w:charset w:val="86"/>
    <w:family w:val="script"/>
    <w:pitch w:val="variable"/>
    <w:sig w:usb0="00000001" w:usb1="080E0000" w:usb2="00000010" w:usb3="00000000" w:csb0="00040000" w:csb1="00000000"/>
  </w:font>
  <w:font w:name="Arial">
    <w:altName w:val="DejaVu Sans"/>
    <w:panose1 w:val="020B0604020202020204"/>
    <w:charset w:val="00"/>
    <w:family w:val="swiss"/>
    <w:pitch w:val="variable"/>
    <w:sig w:usb0="E0002AFF" w:usb1="C0007843" w:usb2="00000009" w:usb3="00000000" w:csb0="000001FF" w:csb1="00000000"/>
  </w:font>
  <w:font w:name="黑体">
    <w:altName w:val="宋体"/>
    <w:panose1 w:val="02010609060101010101"/>
    <w:charset w:val="86"/>
    <w:family w:val="modern"/>
    <w:pitch w:val="variable"/>
    <w:sig w:usb0="800002BF" w:usb1="38CF7CFA" w:usb2="00000016" w:usb3="00000000" w:csb0="00040001" w:csb1="00000000"/>
  </w:font>
  <w:font w:name="Calibri">
    <w:altName w:val="Times New Roman"/>
    <w:panose1 w:val="020F0502020204030204"/>
    <w:charset w:val="00"/>
    <w:family w:val="swiss"/>
    <w:pitch w:val="variable"/>
    <w:sig w:usb0="E00002FF" w:usb1="4000ACFF" w:usb2="00000001" w:usb3="00000000" w:csb0="0000019F" w:csb1="00000000"/>
  </w:font>
  <w:font w:name="minorHAnsi">
    <w:altName w:val="DejaVu Sans"/>
    <w:panose1 w:val="00000000000000000000"/>
    <w:charset w:val="00"/>
    <w:family w:val="auto"/>
    <w:pitch w:val="variable"/>
    <w:sig w:usb0="00000000" w:usb1="00000000" w:usb2="00000000" w:usb3="00000000" w:csb0="00000000" w:csb1="00000000"/>
  </w:font>
  <w:font w:name="minorEastAsia">
    <w:altName w:val="DejaVu Sans"/>
    <w:panose1 w:val="00000000000000000000"/>
    <w:charset w:val="00"/>
    <w:family w:val="auto"/>
    <w:pitch w:val="variable"/>
    <w:sig w:usb0="00000000" w:usb1="00000000" w:usb2="00000000" w:usb3="00000000" w:csb0="00000000" w:csb1="00000000"/>
  </w:font>
  <w:font w:name="Lucida Sans">
    <w:altName w:val="DejaVu Sans"/>
    <w:panose1 w:val="00000000000000000000"/>
    <w:charset w:val="00"/>
    <w:family w:val="swiss"/>
    <w:pitch w:val="variable"/>
    <w:sig w:usb0="00000003" w:usb1="00000000" w:usb2="00000000" w:usb3="00000000" w:csb0="0000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framePr w:w="0" w:hRule="auto" w:wrap="around" w:vAnchor="text" w:hAnchor="margin" w:xAlign="center" w:y="1" w:anchorLock="0"/>
      <w:tabs>
        <w:tab w:val="center" w:pos="4153"/>
        <w:tab w:val="right" w:pos="8307"/>
      </w:tabs>
      <w:rPr>
        <w:rFonts w:ascii="宋体" w:eastAsia="宋体"/>
        <w:sz w:val="28"/>
        <w:szCs w:val="28"/>
      </w:rPr>
    </w:pPr>
    <w:r>
      <w:rPr>
        <w:rStyle w:val="20"/>
        <w:rFonts w:ascii="宋体" w:eastAsia="宋体" w:hint="eastAsia"/>
        <w:sz w:val="28"/>
        <w:szCs w:val="28"/>
      </w:rPr>
      <w:fldChar w:fldCharType="begin"/>
    </w:r>
    <w:r>
      <w:rPr>
        <w:rStyle w:val="20"/>
        <w:rFonts w:ascii="宋体" w:eastAsia="宋体" w:hint="eastAsia"/>
        <w:sz w:val="28"/>
        <w:szCs w:val="28"/>
      </w:rPr>
      <w:instrText>Page</w:instrText>
    </w:r>
    <w:r>
      <w:rPr>
        <w:rStyle w:val="20"/>
        <w:rFonts w:ascii="宋体" w:eastAsia="宋体" w:hint="eastAsia"/>
        <w:sz w:val="28"/>
        <w:szCs w:val="28"/>
      </w:rPr>
      <w:fldChar w:fldCharType="separate"/>
    </w:r>
    <w:r>
      <w:rPr>
        <w:rStyle w:val="20"/>
        <w:rFonts w:ascii="宋体" w:eastAsia="宋体"/>
        <w:sz w:val="28"/>
        <w:szCs w:val="28"/>
      </w:rPr>
      <w:t>- 2 -</w:t>
    </w:r>
    <w:r>
      <w:rPr>
        <w:rStyle w:val="20"/>
        <w:rFonts w:ascii="宋体" w:eastAsia="宋体" w:hint="eastAsia"/>
        <w:sz w:val="28"/>
        <w:szCs w:val="28"/>
      </w:rPr>
      <w:fldChar w:fldCharType="end"/>
    </w:r>
  </w:p>
  <w:p>
    <w:pPr>
      <w:pStyle w:val="17"/>
      <w:tabs>
        <w:tab w:val="center" w:pos="4153"/>
        <w:tab w:val="right" w:pos="8307"/>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framePr w:w="0" w:hRule="auto" w:wrap="around" w:vAnchor="text" w:hAnchor="margin" w:xAlign="center" w:y="1" w:anchorLock="0"/>
      <w:tabs>
        <w:tab w:val="center" w:pos="4153"/>
        <w:tab w:val="right" w:pos="8307"/>
      </w:tabs>
    </w:pPr>
    <w:r>
      <w:rPr>
        <w:rStyle w:val="20"/>
      </w:rPr>
      <w:fldChar w:fldCharType="begin"/>
    </w:r>
    <w:r>
      <w:rPr>
        <w:rStyle w:val="20"/>
      </w:rPr>
      <w:instrText>Page</w:instrText>
    </w:r>
    <w:r>
      <w:rPr>
        <w:rStyle w:val="20"/>
      </w:rPr>
      <w:fldChar w:fldCharType="separate"/>
    </w:r>
    <w:r>
      <w:rPr>
        <w:rStyle w:val="20"/>
      </w:rPr>
      <w:t>- 1 -</w:t>
    </w:r>
    <w:r>
      <w:rPr>
        <w:rStyle w:val="20"/>
      </w:rPr>
      <w:fldChar w:fldCharType="end"/>
    </w:r>
  </w:p>
  <w:p>
    <w:pPr>
      <w:pStyle w:val="17"/>
      <w:tabs>
        <w:tab w:val="center" w:pos="4153"/>
        <w:tab w:val="right" w:pos="8307"/>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framePr w:w="0" w:hRule="auto" w:wrap="around" w:vAnchor="text" w:hAnchor="margin" w:xAlign="center" w:y="1" w:anchorLock="0"/>
      <w:tabs>
        <w:tab w:val="center" w:pos="4153"/>
        <w:tab w:val="right" w:pos="8307"/>
      </w:tabs>
    </w:pPr>
    <w:r>
      <w:rPr>
        <w:rStyle w:val="20"/>
      </w:rPr>
      <w:fldChar w:fldCharType="begin"/>
    </w:r>
    <w:r>
      <w:rPr>
        <w:rStyle w:val="20"/>
      </w:rPr>
      <w:instrText>Page</w:instrText>
    </w:r>
    <w:r>
      <w:rPr>
        <w:rStyle w:val="20"/>
      </w:rPr>
      <w:fldChar w:fldCharType="separate"/>
    </w:r>
    <w:r>
      <w:rPr>
        <w:rStyle w:val="20"/>
      </w:rPr>
      <w:t>- 1 -</w:t>
    </w:r>
    <w:r>
      <w:rPr>
        <w:rStyle w:val="20"/>
      </w:rPr>
      <w:fldChar w:fldCharType="end"/>
    </w: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10"/>
  <w:doNotDisplayPageBoundaries/>
  <w:displayBackgroundShape/>
  <w:bordersDoNotSurroundHeader/>
  <w:bordersDoNotSurroundFooter/>
  <w:defaultTabStop w:val="420"/>
  <w:drawingGridHorizontalSpacing w:val="156"/>
  <w:drawingGridVerticalSpacing w:val="217"/>
  <w:displayHorizontalDrawingGridEvery w:val="0"/>
  <w:displayVerticalDrawingGridEvery w:val="1"/>
  <w:characterSpacingControl w:val="compressPunctuation"/>
  <w:compat>
    <w:spaceForUL/>
    <w:balanceSingleByteDoubleByteWidth/>
    <w:ulTrailSpace/>
    <w:doNotExpandShiftReturn/>
    <w:adjustLineHeightInTable/>
    <w:doNotUseIndentAsNumberingTabStop/>
    <w:useAltKinsokuLineBreakRules/>
    <w:splitPgBreakAndParaMark/>
    <w:compatSetting w:name="compatibilityMode" w:uri="http://schemas.microsoft.com/office/word" w:val="12"/>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Arial" w:eastAsia="黑体" w:hAnsi="Arial"/>
      <w:b/>
      <w:bCs/>
      <w:szCs w:val="32"/>
    </w:rPr>
  </w:style>
  <w:style w:type="paragraph" w:styleId="3">
    <w:name w:val="heading 3"/>
    <w:basedOn w:val="0"/>
    <w:next w:val="0"/>
    <w:pPr>
      <w:keepNext/>
      <w:keepLines/>
      <w:widowControl w:val="0"/>
      <w:spacing w:before="260" w:after="260" w:line="415" w:lineRule="auto"/>
      <w:outlineLvl w:val="2"/>
    </w:pPr>
    <w:rPr>
      <w:b/>
      <w:bCs/>
      <w:szCs w:val="32"/>
    </w:rPr>
  </w:style>
  <w:style w:type="character" w:default="1" w:styleId="10">
    <w:name w:val="Default Paragraph Font"/>
  </w:style>
  <w:style w:type="paragraph" w:styleId="15">
    <w:name w:val="index 8"/>
    <w:basedOn w:val="0"/>
    <w:next w:val="0"/>
    <w:pPr>
      <w:ind w:left="2940"/>
    </w:pPr>
  </w:style>
  <w:style w:type="paragraph" w:styleId="16">
    <w:name w:val="Balloon Text"/>
    <w:basedOn w:val="0"/>
    <w:pPr>
      <w:spacing w:line="240" w:lineRule="auto"/>
    </w:pPr>
    <w:rPr>
      <w:sz w:val="18"/>
      <w:szCs w:val="18"/>
    </w:rPr>
  </w:style>
  <w:style w:type="paragraph" w:styleId="17">
    <w:name w:val="footer"/>
    <w:basedOn w:val="0"/>
    <w:pPr>
      <w:tabs>
        <w:tab w:val="center" w:pos="4153"/>
        <w:tab w:val="right" w:pos="8307"/>
      </w:tabs>
      <w:snapToGrid w:val="0"/>
      <w:jc w:val="left"/>
    </w:pPr>
    <w:rPr>
      <w:sz w:val="18"/>
      <w:szCs w:val="18"/>
    </w:rPr>
  </w:style>
  <w:style w:type="paragraph" w:styleId="18">
    <w:name w:val="header"/>
    <w:basedOn w:val="0"/>
    <w:pPr>
      <w:pBdr>
        <w:bottom w:val="single" w:sz="6" w:space="0" w:color="auto"/>
      </w:pBdr>
      <w:tabs>
        <w:tab w:val="center" w:pos="4153"/>
        <w:tab w:val="right" w:pos="8307"/>
      </w:tabs>
      <w:snapToGrid w:val="0"/>
      <w:jc w:val="center"/>
    </w:pPr>
    <w:rPr>
      <w:sz w:val="18"/>
      <w:szCs w:val="18"/>
    </w:rPr>
  </w:style>
  <w:style w:type="paragraph" w:styleId="19">
    <w:name w:val="List 5"/>
    <w:basedOn w:val="0"/>
    <w:pPr>
      <w:ind w:left="2100" w:hanging="420"/>
    </w:pPr>
  </w:style>
  <w:style w:type="character" w:styleId="20">
    <w:name w:val="page number"/>
    <w:basedOn w:val="10"/>
  </w:style>
  <w:style w:type="character" w:styleId="21">
    <w:name w:val="HTML Acronym"/>
    <w:basedOn w:val="10"/>
  </w:style>
  <w:style w:type="paragraph" w:customStyle="1" w:styleId="22">
    <w:name w:val="样式 73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23">
    <w:name w:val="样式 8 10 磅"/>
    <w:pPr>
      <w:widowControl w:val="0"/>
      <w:jc w:val="both"/>
    </w:pPr>
    <w:rPr>
      <w:rFonts w:ascii="Calibri" w:eastAsia="宋体" w:cs="Arial" w:hAnsi="Calibri"/>
      <w:kern w:val="2"/>
      <w:sz w:val="21"/>
      <w:szCs w:val="22"/>
      <w:lang w:val="en-US" w:eastAsia="zh-CN" w:bidi="ar-SA"/>
    </w:rPr>
  </w:style>
  <w:style w:type="paragraph" w:customStyle="1" w:styleId="24">
    <w:name w:val="样式 5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25">
    <w:name w:val="样式 57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26">
    <w:name w:val="样式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27">
    <w:name w:val="样式 68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28">
    <w:name w:val="样式 25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29">
    <w:name w:val="样式 17 10 磅"/>
    <w:pPr>
      <w:widowControl w:val="0"/>
      <w:jc w:val="both"/>
    </w:pPr>
    <w:rPr>
      <w:rFonts w:ascii="Calibri" w:eastAsia="宋体" w:cs="Arial" w:hAnsi="Calibri"/>
      <w:kern w:val="2"/>
      <w:sz w:val="21"/>
      <w:szCs w:val="22"/>
      <w:lang w:val="en-US" w:eastAsia="zh-CN" w:bidi="ar-SA"/>
    </w:rPr>
  </w:style>
  <w:style w:type="paragraph" w:customStyle="1" w:styleId="30">
    <w:name w:val="样式 72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31">
    <w:name w:val="样式 24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32">
    <w:name w:val="样式 63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33">
    <w:name w:val="样式 46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34">
    <w:name w:val="样式 小四"/>
    <w:pPr>
      <w:widowControl w:val="0"/>
    </w:pPr>
    <w:rPr>
      <w:rFonts w:ascii="宋体" w:eastAsia="宋体" w:cs="Times New Roman"/>
      <w:kern w:val="2"/>
      <w:sz w:val="24"/>
      <w:szCs w:val="21"/>
      <w:lang w:val="en-US" w:eastAsia="zh-CN" w:bidi="ar-SA"/>
    </w:rPr>
  </w:style>
  <w:style w:type="paragraph" w:customStyle="1" w:styleId="35">
    <w:name w:val="样式 27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36">
    <w:name w:val="样式 67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37">
    <w:name w:val="样式 74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38">
    <w:name w:val="样式 42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39">
    <w:name w:val="样式 1 10 磅"/>
    <w:pPr>
      <w:widowControl w:val="0"/>
      <w:jc w:val="both"/>
    </w:pPr>
    <w:rPr>
      <w:rFonts w:ascii="Calibri" w:eastAsia="宋体" w:cs="Arial" w:hAnsi="Calibri"/>
      <w:kern w:val="2"/>
      <w:sz w:val="21"/>
      <w:szCs w:val="22"/>
      <w:lang w:val="en-US" w:eastAsia="zh-CN" w:bidi="ar-SA"/>
    </w:rPr>
  </w:style>
  <w:style w:type="paragraph" w:customStyle="1" w:styleId="40">
    <w:name w:val="样式 3 10 磅"/>
    <w:pPr>
      <w:widowControl w:val="0"/>
      <w:jc w:val="both"/>
    </w:pPr>
    <w:rPr>
      <w:rFonts w:ascii="Calibri" w:eastAsia="宋体" w:cs="Arial" w:hAnsi="Calibri"/>
      <w:kern w:val="2"/>
      <w:sz w:val="21"/>
      <w:szCs w:val="22"/>
      <w:lang w:val="en-US" w:eastAsia="zh-CN" w:bidi="ar-SA"/>
    </w:rPr>
  </w:style>
  <w:style w:type="paragraph" w:customStyle="1" w:styleId="41">
    <w:name w:val="样式 61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42">
    <w:name w:val="样式 38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43">
    <w:name w:val="样式 14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44">
    <w:name w:val="样式 6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45">
    <w:name w:val="样式 14 10 磅"/>
    <w:pPr>
      <w:widowControl w:val="0"/>
      <w:jc w:val="both"/>
    </w:pPr>
    <w:rPr>
      <w:rFonts w:ascii="Calibri" w:eastAsia="宋体" w:cs="Arial" w:hAnsi="Calibri"/>
      <w:kern w:val="2"/>
      <w:sz w:val="21"/>
      <w:szCs w:val="22"/>
      <w:lang w:val="en-US" w:eastAsia="zh-CN" w:bidi="ar-SA"/>
    </w:rPr>
  </w:style>
  <w:style w:type="paragraph" w:customStyle="1" w:styleId="46">
    <w:name w:val="样式 45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47">
    <w:name w:val="样式 28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48">
    <w:name w:val="样式 13 10 磅"/>
    <w:pPr>
      <w:widowControl w:val="0"/>
      <w:jc w:val="both"/>
    </w:pPr>
    <w:rPr>
      <w:rFonts w:ascii="Calibri" w:eastAsia="宋体" w:cs="Arial" w:hAnsi="Calibri"/>
      <w:kern w:val="2"/>
      <w:sz w:val="21"/>
      <w:szCs w:val="22"/>
      <w:lang w:val="en-US" w:eastAsia="zh-CN" w:bidi="ar-SA"/>
    </w:rPr>
  </w:style>
  <w:style w:type="paragraph" w:customStyle="1" w:styleId="49">
    <w:name w:val="样式 44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50">
    <w:name w:val="样式 11 10 磅"/>
    <w:pPr>
      <w:widowControl w:val="0"/>
      <w:jc w:val="both"/>
    </w:pPr>
    <w:rPr>
      <w:rFonts w:ascii="Calibri" w:eastAsia="宋体" w:cs="Arial" w:hAnsi="Calibri"/>
      <w:kern w:val="2"/>
      <w:sz w:val="21"/>
      <w:szCs w:val="22"/>
      <w:lang w:val="en-US" w:eastAsia="zh-CN" w:bidi="ar-SA"/>
    </w:rPr>
  </w:style>
  <w:style w:type="paragraph" w:customStyle="1" w:styleId="51">
    <w:name w:val="样式 49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52">
    <w:name w:val="样式 21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53">
    <w:name w:val="样式 18 10 磅"/>
    <w:pPr>
      <w:widowControl w:val="0"/>
      <w:jc w:val="both"/>
    </w:pPr>
    <w:rPr>
      <w:rFonts w:ascii="Calibri" w:eastAsia="宋体" w:cs="Arial" w:hAnsi="Calibri"/>
      <w:kern w:val="2"/>
      <w:sz w:val="21"/>
      <w:szCs w:val="22"/>
      <w:lang w:val="en-US" w:eastAsia="zh-CN" w:bidi="ar-SA"/>
    </w:rPr>
  </w:style>
  <w:style w:type="paragraph" w:customStyle="1" w:styleId="54">
    <w:name w:val="样式 2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55">
    <w:name w:val="样式 17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56">
    <w:name w:val="样式 55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57">
    <w:name w:val="样式 69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58">
    <w:name w:val="样式 5 10 磅"/>
    <w:pPr>
      <w:widowControl w:val="0"/>
      <w:jc w:val="both"/>
    </w:pPr>
    <w:rPr>
      <w:rFonts w:ascii="Calibri" w:eastAsia="宋体" w:cs="Arial" w:hAnsi="Calibri"/>
      <w:kern w:val="2"/>
      <w:sz w:val="21"/>
      <w:szCs w:val="22"/>
      <w:lang w:val="en-US" w:eastAsia="zh-CN" w:bidi="ar-SA"/>
    </w:rPr>
  </w:style>
  <w:style w:type="paragraph" w:customStyle="1" w:styleId="59">
    <w:name w:val="样式 71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60">
    <w:name w:val="样式 56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61">
    <w:name w:val="样式 20 10 磅"/>
    <w:pPr>
      <w:widowControl w:val="0"/>
      <w:jc w:val="both"/>
    </w:pPr>
    <w:rPr>
      <w:rFonts w:ascii="Calibri" w:eastAsia="宋体" w:cs="Arial" w:hAnsi="Calibri"/>
      <w:kern w:val="2"/>
      <w:sz w:val="21"/>
      <w:szCs w:val="22"/>
      <w:lang w:val="en-US" w:eastAsia="zh-CN" w:bidi="ar-SA"/>
    </w:rPr>
  </w:style>
  <w:style w:type="paragraph" w:customStyle="1" w:styleId="62">
    <w:name w:val="样式 32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63">
    <w:name w:val="样式 19 10 磅"/>
    <w:pPr>
      <w:widowControl w:val="0"/>
      <w:jc w:val="both"/>
    </w:pPr>
    <w:rPr>
      <w:rFonts w:ascii="Calibri" w:eastAsia="宋体" w:cs="Arial" w:hAnsi="Calibri"/>
      <w:kern w:val="2"/>
      <w:sz w:val="21"/>
      <w:szCs w:val="22"/>
      <w:lang w:val="en-US" w:eastAsia="zh-CN" w:bidi="ar-SA"/>
    </w:rPr>
  </w:style>
  <w:style w:type="paragraph" w:customStyle="1" w:styleId="64">
    <w:name w:val="样式 11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65">
    <w:name w:val="样式 31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66">
    <w:name w:val="样式 62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67">
    <w:name w:val="样式 20 三号"/>
    <w:next w:val="68"/>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68">
    <w:name w:val="样式 22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69">
    <w:name w:val="样式 12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70">
    <w:name w:val="样式 29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71">
    <w:name w:val="样式 36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72">
    <w:name w:val="样式 48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73">
    <w:name w:val="样式 1 小四"/>
    <w:pPr>
      <w:widowControl w:val="0"/>
    </w:pPr>
    <w:rPr>
      <w:rFonts w:ascii="宋体" w:eastAsia="宋体" w:cs="Times New Roman"/>
      <w:kern w:val="2"/>
      <w:sz w:val="24"/>
      <w:szCs w:val="21"/>
      <w:lang w:val="en-US" w:eastAsia="zh-CN" w:bidi="ar-SA"/>
    </w:rPr>
  </w:style>
  <w:style w:type="paragraph" w:customStyle="1" w:styleId="74">
    <w:name w:val="样式 70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75">
    <w:name w:val="样式 19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76">
    <w:name w:val="样式 16 10 磅"/>
    <w:pPr>
      <w:widowControl w:val="0"/>
      <w:jc w:val="both"/>
    </w:pPr>
    <w:rPr>
      <w:rFonts w:ascii="Calibri" w:eastAsia="宋体" w:cs="Arial" w:hAnsi="Calibri"/>
      <w:kern w:val="2"/>
      <w:sz w:val="21"/>
      <w:szCs w:val="22"/>
      <w:lang w:val="en-US" w:eastAsia="zh-CN" w:bidi="ar-SA"/>
    </w:rPr>
  </w:style>
  <w:style w:type="paragraph" w:customStyle="1" w:styleId="77">
    <w:name w:val="样式 7 10 磅"/>
    <w:pPr>
      <w:widowControl w:val="0"/>
      <w:jc w:val="both"/>
    </w:pPr>
    <w:rPr>
      <w:rFonts w:ascii="Calibri" w:eastAsia="宋体" w:cs="Arial" w:hAnsi="Calibri"/>
      <w:kern w:val="2"/>
      <w:sz w:val="21"/>
      <w:szCs w:val="22"/>
      <w:lang w:val="en-US" w:eastAsia="zh-CN" w:bidi="ar-SA"/>
    </w:rPr>
  </w:style>
  <w:style w:type="paragraph" w:customStyle="1" w:styleId="78">
    <w:name w:val="样式 43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79">
    <w:name w:val="样式 59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80">
    <w:name w:val="样式 7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81">
    <w:name w:val="样式 64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82">
    <w:name w:val="样式 12 10 磅"/>
    <w:pPr>
      <w:widowControl w:val="0"/>
      <w:jc w:val="both"/>
    </w:pPr>
    <w:rPr>
      <w:rFonts w:ascii="Calibri" w:eastAsia="宋体" w:cs="Arial" w:hAnsi="Calibri"/>
      <w:kern w:val="2"/>
      <w:sz w:val="21"/>
      <w:szCs w:val="22"/>
      <w:lang w:val="en-US" w:eastAsia="zh-CN" w:bidi="ar-SA"/>
    </w:rPr>
  </w:style>
  <w:style w:type="paragraph" w:customStyle="1" w:styleId="83">
    <w:name w:val="样式 2 10 磅"/>
    <w:pPr>
      <w:widowControl w:val="0"/>
      <w:jc w:val="both"/>
    </w:pPr>
    <w:rPr>
      <w:rFonts w:ascii="Calibri" w:eastAsia="宋体" w:cs="Arial" w:hAnsi="Calibri"/>
      <w:kern w:val="2"/>
      <w:sz w:val="21"/>
      <w:szCs w:val="22"/>
      <w:lang w:val="en-US" w:eastAsia="zh-CN" w:bidi="ar-SA"/>
    </w:rPr>
  </w:style>
  <w:style w:type="paragraph" w:customStyle="1" w:styleId="84">
    <w:name w:val="样式 3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85">
    <w:name w:val="样式 75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86">
    <w:name w:val="样式 10 磅"/>
    <w:next w:val="25"/>
    <w:pPr>
      <w:widowControl w:val="0"/>
      <w:jc w:val="both"/>
    </w:pPr>
    <w:rPr>
      <w:rFonts w:ascii="Calibri" w:eastAsia="宋体" w:cs="Times New Roman" w:hAnsi="Calibri"/>
      <w:kern w:val="2"/>
      <w:sz w:val="21"/>
      <w:szCs w:val="22"/>
      <w:lang w:val="en-US" w:eastAsia="zh-CN" w:bidi="ar-SA"/>
    </w:rPr>
  </w:style>
  <w:style w:type="paragraph" w:customStyle="1" w:styleId="87">
    <w:name w:val="样式 9 10 磅"/>
    <w:pPr>
      <w:widowControl w:val="0"/>
      <w:jc w:val="both"/>
    </w:pPr>
    <w:rPr>
      <w:rFonts w:ascii="Calibri" w:eastAsia="宋体" w:cs="Arial" w:hAnsi="Calibri"/>
      <w:kern w:val="2"/>
      <w:sz w:val="21"/>
      <w:szCs w:val="22"/>
      <w:lang w:val="en-US" w:eastAsia="zh-CN" w:bidi="ar-SA"/>
    </w:rPr>
  </w:style>
  <w:style w:type="paragraph" w:customStyle="1" w:styleId="88">
    <w:name w:val="样式 6 10 磅"/>
    <w:pPr>
      <w:widowControl w:val="0"/>
      <w:jc w:val="both"/>
    </w:pPr>
    <w:rPr>
      <w:rFonts w:ascii="Calibri" w:eastAsia="宋体" w:cs="Arial" w:hAnsi="Calibri"/>
      <w:kern w:val="2"/>
      <w:sz w:val="21"/>
      <w:szCs w:val="22"/>
      <w:lang w:val="en-US" w:eastAsia="zh-CN" w:bidi="ar-SA"/>
    </w:rPr>
  </w:style>
  <w:style w:type="paragraph" w:customStyle="1" w:styleId="89">
    <w:name w:val="样式 13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90">
    <w:name w:val="样式 9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91">
    <w:name w:val="样式 65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92">
    <w:name w:val="样式 16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93">
    <w:name w:val="样式 39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94">
    <w:name w:val="样式 66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95">
    <w:name w:val="样式 1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96">
    <w:name w:val="样式 58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97">
    <w:name w:val="样式 41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98">
    <w:name w:val="样式 53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99">
    <w:name w:val="样式 15 10 磅"/>
    <w:pPr>
      <w:widowControl w:val="0"/>
      <w:jc w:val="both"/>
    </w:pPr>
    <w:rPr>
      <w:rFonts w:ascii="Calibri" w:eastAsia="宋体" w:cs="Arial" w:hAnsi="Calibri"/>
      <w:kern w:val="2"/>
      <w:sz w:val="21"/>
      <w:szCs w:val="22"/>
      <w:lang w:val="en-US" w:eastAsia="zh-CN" w:bidi="ar-SA"/>
    </w:rPr>
  </w:style>
  <w:style w:type="paragraph" w:customStyle="1" w:styleId="100">
    <w:name w:val="样式 18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01">
    <w:name w:val="样式 10 10 磅"/>
    <w:pPr>
      <w:widowControl w:val="0"/>
      <w:jc w:val="both"/>
    </w:pPr>
    <w:rPr>
      <w:rFonts w:ascii="Calibri" w:eastAsia="宋体" w:cs="Arial" w:hAnsi="Calibri"/>
      <w:kern w:val="2"/>
      <w:sz w:val="21"/>
      <w:szCs w:val="22"/>
      <w:lang w:val="en-US" w:eastAsia="zh-CN" w:bidi="ar-SA"/>
    </w:rPr>
  </w:style>
  <w:style w:type="paragraph" w:customStyle="1" w:styleId="102">
    <w:name w:val="样式 10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03">
    <w:name w:val="样式 30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04">
    <w:name w:val="样式 35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05">
    <w:name w:val="样式 50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06">
    <w:name w:val="样式 52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07">
    <w:name w:val="样式 26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08">
    <w:name w:val="样式 4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09">
    <w:name w:val="样式 40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10">
    <w:name w:val="样式 60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11">
    <w:name w:val="样式 51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12">
    <w:name w:val="样式 47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13">
    <w:name w:val="样式 23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14">
    <w:name w:val="样式 4 10 磅"/>
    <w:pPr>
      <w:widowControl w:val="0"/>
      <w:jc w:val="both"/>
    </w:pPr>
    <w:rPr>
      <w:rFonts w:ascii="Calibri" w:eastAsia="宋体" w:cs="Arial" w:hAnsi="Calibri"/>
      <w:kern w:val="2"/>
      <w:sz w:val="21"/>
      <w:szCs w:val="22"/>
      <w:lang w:val="en-US" w:eastAsia="zh-CN" w:bidi="ar-SA"/>
    </w:rPr>
  </w:style>
  <w:style w:type="paragraph" w:customStyle="1" w:styleId="115">
    <w:name w:val="样式 34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16">
    <w:name w:val="样式 15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17">
    <w:name w:val="样式 54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18">
    <w:name w:val="样式 33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19">
    <w:name w:val="样式 8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20">
    <w:name w:val="样式 37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21">
    <w:name w:val="样式 76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22">
    <w:name w:val="样式 21 10 磅"/>
    <w:pPr>
      <w:widowControl w:val="0"/>
      <w:jc w:val="both"/>
    </w:pPr>
    <w:rPr>
      <w:rFonts w:ascii="Calibri" w:eastAsia="宋体" w:cs="Arial" w:hAnsi="Calibri"/>
      <w:kern w:val="2"/>
      <w:sz w:val="21"/>
      <w:szCs w:val="22"/>
      <w:lang w:val="en-US" w:eastAsia="zh-CN" w:bidi="ar-SA"/>
    </w:rPr>
  </w:style>
  <w:style w:type="paragraph" w:customStyle="1" w:styleId="123">
    <w:name w:val="样式 77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24">
    <w:name w:val="样式 78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25">
    <w:name w:val="样式 79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26">
    <w:name w:val="样式 80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27">
    <w:name w:val="样式 81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28">
    <w:name w:val="样式 82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29">
    <w:name w:val="样式 83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30">
    <w:name w:val="样式 84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31">
    <w:name w:val="样式 85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32">
    <w:name w:val="样式 86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33">
    <w:name w:val="样式 87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34">
    <w:name w:val="样式 88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35">
    <w:name w:val="样式 22 10 磅"/>
    <w:pPr>
      <w:widowControl w:val="0"/>
      <w:jc w:val="both"/>
    </w:pPr>
    <w:rPr>
      <w:rFonts w:ascii="Times New Roman" w:eastAsia="宋体" w:cs="Times New Roman" w:hAnsi="Times New Roman"/>
      <w:kern w:val="2"/>
      <w:sz w:val="21"/>
      <w:szCs w:val="24"/>
      <w:lang w:val="en-US" w:eastAsia="zh-CN" w:bidi="ar-SA"/>
    </w:rPr>
  </w:style>
  <w:style w:type="paragraph" w:customStyle="1" w:styleId="136">
    <w:name w:val="样式 89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37">
    <w:name w:val="样式 90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38">
    <w:name w:val="样式 23 10 磅"/>
    <w:pPr>
      <w:widowControl w:val="0"/>
      <w:jc w:val="both"/>
    </w:pPr>
    <w:rPr>
      <w:rFonts w:ascii="Times New Roman" w:eastAsia="宋体" w:cs="Times New Roman" w:hAnsi="Times New Roman"/>
      <w:kern w:val="2"/>
      <w:sz w:val="21"/>
      <w:szCs w:val="24"/>
      <w:lang w:val="en-US" w:eastAsia="zh-CN" w:bidi="ar-SA"/>
    </w:rPr>
  </w:style>
  <w:style w:type="paragraph" w:customStyle="1" w:styleId="139">
    <w:name w:val="样式 91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40">
    <w:name w:val="样式 11 磅"/>
    <w:pPr>
      <w:widowControl w:val="0"/>
      <w:snapToGrid w:val="0"/>
      <w:spacing w:before="60" w:after="60" w:line="312" w:lineRule="auto"/>
    </w:pPr>
    <w:rPr>
      <w:rFonts w:ascii="minorHAnsi" w:eastAsia="minorEastAsia" w:cs="Arial" w:hAnsi="minorHAnsi"/>
      <w:color w:val="333333"/>
      <w:kern w:val="2"/>
      <w:sz w:val="22"/>
      <w:szCs w:val="22"/>
      <w:lang w:val="en-US" w:eastAsia="zh-CN" w:bidi="ar-SA"/>
    </w:rPr>
  </w:style>
  <w:style w:type="paragraph" w:customStyle="1" w:styleId="141">
    <w:name w:val="样式 92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42">
    <w:name w:val="样式 93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43">
    <w:name w:val="样式 94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44">
    <w:name w:val="样式 95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45">
    <w:name w:val="样式 96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46">
    <w:name w:val="样式 97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47">
    <w:name w:val="样式 98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48">
    <w:name w:val="样式 24 10 磅"/>
    <w:pPr>
      <w:widowControl w:val="0"/>
      <w:jc w:val="both"/>
    </w:pPr>
    <w:rPr>
      <w:rFonts w:ascii="Calibri" w:eastAsia="宋体" w:cs="Arial" w:hAnsi="Calibri"/>
      <w:kern w:val="2"/>
      <w:sz w:val="21"/>
      <w:szCs w:val="22"/>
      <w:lang w:val="en-US" w:eastAsia="zh-CN" w:bidi="ar-SA"/>
    </w:rPr>
  </w:style>
  <w:style w:type="paragraph" w:customStyle="1" w:styleId="149">
    <w:name w:val="样式 99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50">
    <w:name w:val="样式 100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51">
    <w:name w:val="样式 101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52">
    <w:name w:val="样式 102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53">
    <w:name w:val="样式 129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54">
    <w:name w:val="样式 103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55">
    <w:name w:val="样式 104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56">
    <w:name w:val="样式 105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57">
    <w:name w:val="样式 10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58">
    <w:name w:val="样式 25 10 磅"/>
    <w:pPr>
      <w:widowControl w:val="0"/>
      <w:jc w:val="both"/>
    </w:pPr>
    <w:rPr>
      <w:rFonts w:ascii="Calibri" w:eastAsia="宋体" w:cs="Times New Roman" w:hAnsi="Calibri"/>
      <w:kern w:val="2"/>
      <w:sz w:val="21"/>
      <w:szCs w:val="22"/>
      <w:lang w:val="en-US" w:eastAsia="zh-CN" w:bidi="ar-SA"/>
    </w:rPr>
  </w:style>
  <w:style w:type="paragraph" w:customStyle="1" w:styleId="159">
    <w:name w:val="样式 26 10 磅"/>
    <w:pPr>
      <w:widowControl w:val="0"/>
      <w:jc w:val="both"/>
    </w:pPr>
    <w:rPr>
      <w:rFonts w:ascii="Calibri" w:eastAsia="宋体" w:cs="Times New Roman" w:hAnsi="Calibri"/>
      <w:kern w:val="2"/>
      <w:sz w:val="21"/>
      <w:szCs w:val="22"/>
      <w:lang w:val="en-US" w:eastAsia="zh-CN" w:bidi="ar-SA"/>
    </w:rPr>
  </w:style>
  <w:style w:type="paragraph" w:customStyle="1" w:styleId="160">
    <w:name w:val="样式 27 10 磅"/>
    <w:pPr>
      <w:widowControl w:val="0"/>
      <w:jc w:val="both"/>
    </w:pPr>
    <w:rPr>
      <w:rFonts w:ascii="Calibri" w:eastAsia="宋体" w:cs="Times New Roman" w:hAnsi="Calibri"/>
      <w:kern w:val="2"/>
      <w:sz w:val="21"/>
      <w:szCs w:val="22"/>
      <w:lang w:val="en-US" w:eastAsia="zh-CN" w:bidi="ar-SA"/>
    </w:rPr>
  </w:style>
  <w:style w:type="paragraph" w:customStyle="1" w:styleId="161">
    <w:name w:val="样式 28 10 磅"/>
    <w:pPr>
      <w:widowControl w:val="0"/>
      <w:jc w:val="both"/>
    </w:pPr>
    <w:rPr>
      <w:rFonts w:ascii="Calibri" w:eastAsia="宋体" w:cs="Arial" w:hAnsi="Calibri"/>
      <w:kern w:val="2"/>
      <w:sz w:val="21"/>
      <w:szCs w:val="22"/>
      <w:lang w:val="en-US" w:eastAsia="zh-CN" w:bidi="ar-SA"/>
    </w:rPr>
  </w:style>
  <w:style w:type="paragraph" w:customStyle="1" w:styleId="162">
    <w:name w:val="样式 29 10 磅"/>
    <w:pPr>
      <w:widowControl w:val="0"/>
      <w:jc w:val="both"/>
    </w:pPr>
    <w:rPr>
      <w:rFonts w:ascii="Calibri" w:eastAsia="宋体" w:cs="Arial" w:hAnsi="Calibri"/>
      <w:kern w:val="2"/>
      <w:sz w:val="21"/>
      <w:szCs w:val="22"/>
      <w:lang w:val="en-US" w:eastAsia="zh-CN" w:bidi="ar-SA"/>
    </w:rPr>
  </w:style>
  <w:style w:type="paragraph" w:customStyle="1" w:styleId="163">
    <w:name w:val="样式 107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64">
    <w:name w:val="样式 108 三号"/>
    <w:pPr>
      <w:widowControl w:val="0"/>
      <w:jc w:val="both"/>
    </w:pPr>
    <w:rPr>
      <w:rFonts w:ascii="Times New Roman" w:eastAsia="方正仿宋_GBK" w:cs="Lucida Sans" w:hAnsi="Times New Roman"/>
      <w:kern w:val="2"/>
      <w:sz w:val="32"/>
      <w:szCs w:val="21"/>
      <w:lang w:val="en-US" w:eastAsia="zh-CN" w:bidi="ar-SA"/>
    </w:rPr>
  </w:style>
  <w:style w:type="paragraph" w:customStyle="1" w:styleId="165">
    <w:name w:val="样式 109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66">
    <w:name w:val="样式 30 10 磅"/>
    <w:pPr>
      <w:widowControl w:val="0"/>
      <w:jc w:val="both"/>
    </w:pPr>
    <w:rPr>
      <w:rFonts w:ascii="Times New Roman" w:eastAsia="宋体" w:cs="Times New Roman" w:hAnsi="Times New Roman"/>
      <w:kern w:val="2"/>
      <w:sz w:val="21"/>
      <w:szCs w:val="21"/>
      <w:lang w:val="en-US" w:eastAsia="zh-CN" w:bidi="ar-SA"/>
    </w:rPr>
  </w:style>
  <w:style w:type="paragraph" w:customStyle="1" w:styleId="167">
    <w:name w:val="样式 110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68">
    <w:name w:val="样式 111 三号"/>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169">
    <w:name w:val="样式 31 10 磅"/>
    <w:pPr>
      <w:widowControl w:val="0"/>
      <w:jc w:val="both"/>
    </w:pPr>
    <w:rPr>
      <w:rFonts w:ascii="Times New Roman" w:eastAsia="宋体" w:cs="Times New Roman" w:hAnsi="Times New Roman"/>
      <w:kern w:val="2"/>
      <w:sz w:val="21"/>
      <w:szCs w:val="21"/>
      <w:lang w:val="en-US" w:eastAsia="zh-CN" w:bidi="ar-SA"/>
    </w:rPr>
  </w:style>
  <w:style w:type="paragraph" w:customStyle="1" w:styleId="170">
    <w:name w:val="样式 32 10 磅"/>
    <w:pPr>
      <w:widowControl w:val="0"/>
      <w:jc w:val="both"/>
    </w:pPr>
    <w:rPr>
      <w:rFonts w:ascii="Calibri" w:eastAsia="宋体" w:cs="Arial" w:hAnsi="Calibri"/>
      <w:kern w:val="2"/>
      <w:sz w:val="21"/>
      <w:szCs w:val="22"/>
      <w:lang w:val="en-US" w:eastAsia="zh-CN" w:bidi="ar-SA"/>
    </w:rPr>
  </w:style>
  <w:style w:type="paragraph" w:customStyle="1" w:styleId="171">
    <w:name w:val="样式 33 10 磅"/>
    <w:pPr>
      <w:widowControl w:val="0"/>
      <w:jc w:val="both"/>
    </w:pPr>
    <w:rPr>
      <w:rFonts w:ascii="Calibri" w:eastAsia="宋体" w:cs="Arial" w:hAnsi="Calibri"/>
      <w:kern w:val="2"/>
      <w:sz w:val="21"/>
      <w:szCs w:val="22"/>
      <w:lang w:val="en-US" w:eastAsia="zh-CN" w:bidi="ar-SA"/>
    </w:rPr>
  </w:style>
  <w:style w:type="paragraph" w:customStyle="1" w:styleId="172">
    <w:name w:val="样式 112 三号"/>
    <w:pPr>
      <w:widowControl w:val="0"/>
      <w:jc w:val="both"/>
    </w:pPr>
    <w:rPr>
      <w:rFonts w:ascii="Times New Roman" w:eastAsia="方正仿宋_GBK" w:cs="Lucida Sans" w:hAnsi="Times New Roman"/>
      <w:kern w:val="2"/>
      <w:sz w:val="32"/>
      <w:szCs w:val="21"/>
      <w:lang w:val="en-US" w:eastAsia="zh-CN" w:bidi="ar-SA"/>
    </w:rPr>
  </w:style>
  <w:style w:type="paragraph" w:styleId="173">
    <w:name w:val="Normal (Web)"/>
    <w:basedOn w:val="0"/>
    <w:pPr>
      <w:widowControl/>
      <w:spacing w:before="100" w:beforeAutospacing="1" w:after="100" w:afterAutospacing="1" w:line="240" w:lineRule="auto"/>
      <w:jc w:val="left"/>
    </w:pPr>
    <w:rPr>
      <w:rFonts w:ascii="宋体" w:eastAsia="宋体" w:cs="宋体"/>
      <w:spacing w:val="0"/>
      <w:kern w:val="0"/>
      <w:sz w:val="24"/>
      <w:szCs w:val="24"/>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styles" Target="styles.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142</TotalTime>
  <Application>Yozo_Office27021597764231179</Application>
  <Pages>4</Pages>
  <Words>898</Words>
  <Characters>5657</Characters>
  <Lines>101</Lines>
  <Paragraphs>11</Paragraphs>
  <CharactersWithSpaces>6545</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damai</dc:creator>
  <cp:lastModifiedBy>赵怡芳</cp:lastModifiedBy>
  <cp:revision>8</cp:revision>
  <cp:lastPrinted>2026-03-24T01:39:30Z</cp:lastPrinted>
  <dcterms:created xsi:type="dcterms:W3CDTF">2026-03-15T14:47:00Z</dcterms:created>
  <dcterms:modified xsi:type="dcterms:W3CDTF">2026-03-24T02:24:41Z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2052-12.9.0.21590</vt:lpwstr>
  </property>
  <property fmtid="{D5CDD505-2E9C-101B-9397-08002B2CF9AE}" pid="3" name="ICV">
    <vt:lpwstr>26754D5D2EA7B8151E40B169F2514D44_43</vt:lpwstr>
  </property>
  <property fmtid="{D5CDD505-2E9C-101B-9397-08002B2CF9AE}" pid="4" name="KSOTemplateDocerSaveRecord">
    <vt:lpwstr>eyJoZGlkIjoiMTgxMzM3Y2U4ZDk4NWQ3ZGRjNzU2YjQzNmY5MGVhMzMiLCJ1c2VySWQiOiIyMDIzMzQxMTUifQ==</vt:lpwstr>
  </property>
</Properties>
</file>